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charts/_rels/chart6.xml.rels" ContentType="application/vnd.openxmlformats-package.relationship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embeddings/Microsoft_Excel_Worksheet4.xlsx" ContentType="application/vnd.openxmlformats-officedocument.spreadsheetml.sheet"/>
  <Override PartName="/word/embeddings/Microsoft_Excel_Worksheet5.xlsx" ContentType="application/vnd.openxmlformats-officedocument.spreadsheetml.sheet"/>
  <Override PartName="/word/embeddings/Microsoft_Excel_Worksheet6.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Департамент недропользования и природных ресурсов                          Ханты-Мансийского автономного округа - Югры</w:t>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t>ПРОЕКТ</w:t>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t>МАТЕРИАЛЫ, ОБОСНОВЫВАЮЩИЕ ЛИМИТЫ ИЗЪЯТИЯ ОХОТНИЧЬИХ РЕСУРСОВ С 1 АВГУСТА 2018 ГОДА ДО 1 АВГУСТА 2019 ГОДА НА ТЕРРИТОРИИ ХАНТЫ-МАНСИЙСКОГО АВТОНОМНОГО ОКРУГА - ЮГРЫ</w:t>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t>Том 1</w:t>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rPr>
          <w:sz w:val="28"/>
          <w:szCs w:val="28"/>
        </w:rPr>
      </w:pPr>
      <w:r>
        <w:rPr>
          <w:sz w:val="28"/>
          <w:szCs w:val="28"/>
        </w:rPr>
        <w:t xml:space="preserve">Ответственный исполнитель: </w:t>
      </w:r>
    </w:p>
    <w:p>
      <w:pPr>
        <w:pStyle w:val="Normal"/>
        <w:rPr>
          <w:sz w:val="28"/>
          <w:szCs w:val="28"/>
        </w:rPr>
      </w:pPr>
      <w:r>
        <w:rPr>
          <w:sz w:val="28"/>
          <w:szCs w:val="28"/>
        </w:rPr>
        <w:t xml:space="preserve">консультант отдела мониторинга, кадастра </w:t>
      </w:r>
    </w:p>
    <w:p>
      <w:pPr>
        <w:pStyle w:val="Normal"/>
        <w:rPr>
          <w:sz w:val="28"/>
          <w:szCs w:val="28"/>
        </w:rPr>
      </w:pPr>
      <w:r>
        <w:rPr>
          <w:sz w:val="28"/>
          <w:szCs w:val="28"/>
        </w:rPr>
        <w:t xml:space="preserve">и регулирования численности объектов </w:t>
      </w:r>
    </w:p>
    <w:p>
      <w:pPr>
        <w:pStyle w:val="Normal"/>
        <w:rPr>
          <w:sz w:val="28"/>
          <w:szCs w:val="28"/>
        </w:rPr>
      </w:pPr>
      <w:r>
        <w:rPr>
          <w:sz w:val="28"/>
          <w:szCs w:val="28"/>
        </w:rPr>
        <w:t xml:space="preserve">животного мира                                                                          Л.Н. Губатых                                                                            </w:t>
      </w:r>
    </w:p>
    <w:p>
      <w:pPr>
        <w:pStyle w:val="Normal"/>
        <w:ind w:firstLine="540"/>
        <w:rPr>
          <w:sz w:val="28"/>
          <w:szCs w:val="28"/>
        </w:rPr>
      </w:pPr>
      <w:r>
        <w:rPr>
          <w:sz w:val="28"/>
          <w:szCs w:val="28"/>
        </w:rPr>
        <w:t xml:space="preserve">                        </w:t>
      </w:r>
    </w:p>
    <w:p>
      <w:pPr>
        <w:pStyle w:val="Normal"/>
        <w:rPr>
          <w:sz w:val="28"/>
          <w:szCs w:val="28"/>
        </w:rPr>
      </w:pPr>
      <w:r>
        <w:rPr>
          <w:sz w:val="28"/>
          <w:szCs w:val="28"/>
        </w:rPr>
        <w:t xml:space="preserve">Согласовано: </w:t>
      </w:r>
    </w:p>
    <w:p>
      <w:pPr>
        <w:pStyle w:val="Normal"/>
        <w:rPr>
          <w:sz w:val="28"/>
          <w:szCs w:val="28"/>
        </w:rPr>
      </w:pPr>
      <w:r>
        <w:rPr>
          <w:sz w:val="28"/>
          <w:szCs w:val="28"/>
        </w:rPr>
        <w:t xml:space="preserve">Начальник отдела мониторинга, кадастра и </w:t>
      </w:r>
    </w:p>
    <w:p>
      <w:pPr>
        <w:pStyle w:val="Normal"/>
        <w:rPr>
          <w:sz w:val="28"/>
          <w:szCs w:val="28"/>
        </w:rPr>
      </w:pPr>
      <w:r>
        <w:rPr>
          <w:sz w:val="28"/>
          <w:szCs w:val="28"/>
        </w:rPr>
        <w:t xml:space="preserve">регулирования численности объектов животного мира </w:t>
      </w:r>
    </w:p>
    <w:p>
      <w:pPr>
        <w:pStyle w:val="Normal"/>
        <w:rPr>
          <w:sz w:val="28"/>
          <w:szCs w:val="28"/>
        </w:rPr>
      </w:pPr>
      <w:r>
        <w:rPr>
          <w:sz w:val="28"/>
          <w:szCs w:val="28"/>
        </w:rPr>
        <w:t xml:space="preserve">Управления по использованию </w:t>
      </w:r>
    </w:p>
    <w:p>
      <w:pPr>
        <w:pStyle w:val="Normal"/>
        <w:rPr>
          <w:sz w:val="28"/>
          <w:szCs w:val="28"/>
        </w:rPr>
      </w:pPr>
      <w:r>
        <w:rPr>
          <w:sz w:val="28"/>
          <w:szCs w:val="28"/>
        </w:rPr>
        <w:t xml:space="preserve">объектов животного мира                                                          Н.Н. Пащенко </w:t>
      </w:r>
    </w:p>
    <w:p>
      <w:pPr>
        <w:pStyle w:val="Normal"/>
        <w:ind w:firstLine="540"/>
        <w:rPr>
          <w:sz w:val="28"/>
          <w:szCs w:val="28"/>
        </w:rPr>
      </w:pPr>
      <w:r>
        <w:rPr>
          <w:sz w:val="28"/>
          <w:szCs w:val="28"/>
        </w:rPr>
        <w:t xml:space="preserve">                                               </w:t>
      </w:r>
    </w:p>
    <w:p>
      <w:pPr>
        <w:pStyle w:val="Normal"/>
        <w:ind w:firstLine="540"/>
        <w:rPr>
          <w:sz w:val="28"/>
          <w:szCs w:val="28"/>
        </w:rPr>
      </w:pPr>
      <w:r>
        <w:rPr>
          <w:sz w:val="28"/>
          <w:szCs w:val="28"/>
        </w:rPr>
        <w:t xml:space="preserve">                                                                                                                   </w:t>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sz w:val="28"/>
          <w:szCs w:val="28"/>
        </w:rPr>
      </w:pPr>
      <w:r>
        <w:rPr>
          <w:sz w:val="28"/>
          <w:szCs w:val="28"/>
        </w:rPr>
        <w:t>Ханты-Мансийск</w:t>
      </w:r>
    </w:p>
    <w:p>
      <w:pPr>
        <w:pStyle w:val="Normal"/>
        <w:ind w:firstLine="540"/>
        <w:jc w:val="center"/>
        <w:rPr/>
      </w:pPr>
      <w:r>
        <w:rPr>
          <w:sz w:val="28"/>
          <w:szCs w:val="28"/>
        </w:rPr>
        <w:t>2019</w:t>
      </w:r>
    </w:p>
    <w:p>
      <w:pPr>
        <w:pStyle w:val="Normal"/>
        <w:jc w:val="center"/>
        <w:rPr/>
      </w:pPr>
      <w:r>
        <w:rPr>
          <w:b/>
          <w:sz w:val="28"/>
          <w:szCs w:val="28"/>
        </w:rPr>
        <w:t xml:space="preserve">Материалы, обосновывающие лимиты изъятия охотничьих ресурсов          с 1 августа 2019 года до 1 августа 2020 года в Ханты-Мансийском автономном округе – Югре. </w:t>
      </w:r>
    </w:p>
    <w:p>
      <w:pPr>
        <w:pStyle w:val="Normal"/>
        <w:ind w:firstLine="540"/>
        <w:jc w:val="center"/>
        <w:rPr>
          <w:sz w:val="28"/>
          <w:szCs w:val="28"/>
        </w:rPr>
      </w:pPr>
      <w:r>
        <w:rPr>
          <w:sz w:val="28"/>
          <w:szCs w:val="28"/>
        </w:rPr>
      </w:r>
    </w:p>
    <w:p>
      <w:pPr>
        <w:pStyle w:val="Normal"/>
        <w:spacing w:lineRule="auto" w:line="276"/>
        <w:jc w:val="center"/>
        <w:rPr/>
      </w:pPr>
      <w:r>
        <w:rPr>
          <w:sz w:val="28"/>
          <w:szCs w:val="28"/>
        </w:rPr>
        <w:t>Материалы представлены департаментом недропользования и природных ресурсов Ханты-Мансийского автономного округа – Югры включают:</w:t>
      </w:r>
    </w:p>
    <w:p>
      <w:pPr>
        <w:pStyle w:val="Normal"/>
        <w:ind w:firstLine="540"/>
        <w:jc w:val="center"/>
        <w:rPr>
          <w:sz w:val="28"/>
          <w:szCs w:val="28"/>
        </w:rPr>
      </w:pPr>
      <w:r>
        <w:rPr>
          <w:sz w:val="28"/>
          <w:szCs w:val="28"/>
        </w:rPr>
      </w:r>
    </w:p>
    <w:p>
      <w:pPr>
        <w:pStyle w:val="Normal"/>
        <w:jc w:val="both"/>
        <w:rPr/>
      </w:pPr>
      <w:r>
        <w:rPr>
          <w:sz w:val="28"/>
          <w:szCs w:val="28"/>
        </w:rPr>
        <w:t>1.  Вводная часть                                                                                   стр. 3-4</w:t>
      </w:r>
    </w:p>
    <w:p>
      <w:pPr>
        <w:pStyle w:val="Normal"/>
        <w:jc w:val="both"/>
        <w:rPr/>
      </w:pPr>
      <w:r>
        <w:rPr>
          <w:sz w:val="28"/>
          <w:szCs w:val="28"/>
        </w:rPr>
        <w:t>2.  Основная часть                                                                               стр. 5-22</w:t>
      </w:r>
    </w:p>
    <w:p>
      <w:pPr>
        <w:pStyle w:val="Normal"/>
        <w:jc w:val="both"/>
        <w:rPr/>
      </w:pPr>
      <w:r>
        <w:rPr>
          <w:sz w:val="28"/>
          <w:szCs w:val="28"/>
        </w:rPr>
        <w:t>3. Заключительная часть                                                                        стр. 23</w:t>
      </w:r>
    </w:p>
    <w:p>
      <w:pPr>
        <w:pStyle w:val="Normal"/>
        <w:jc w:val="both"/>
        <w:rPr/>
      </w:pPr>
      <w:r>
        <w:rPr>
          <w:sz w:val="28"/>
          <w:szCs w:val="28"/>
        </w:rPr>
        <w:t>4. Список используемой литературы                                                    стр. 24</w:t>
      </w:r>
    </w:p>
    <w:p>
      <w:pPr>
        <w:pStyle w:val="Normal"/>
        <w:jc w:val="both"/>
        <w:rPr>
          <w:sz w:val="28"/>
          <w:szCs w:val="28"/>
        </w:rPr>
      </w:pPr>
      <w:r>
        <w:rPr>
          <w:sz w:val="28"/>
          <w:szCs w:val="28"/>
        </w:rPr>
        <w:t xml:space="preserve">5.  Приложения:                                                                                              </w:t>
      </w:r>
    </w:p>
    <w:p>
      <w:pPr>
        <w:pStyle w:val="Normal"/>
        <w:jc w:val="both"/>
        <w:rPr>
          <w:sz w:val="28"/>
          <w:szCs w:val="28"/>
        </w:rPr>
      </w:pPr>
      <w:r>
        <w:rPr>
          <w:sz w:val="28"/>
          <w:szCs w:val="28"/>
        </w:rPr>
        <w:t xml:space="preserve">            </w:t>
      </w:r>
      <w:r>
        <w:rPr>
          <w:sz w:val="28"/>
          <w:szCs w:val="28"/>
        </w:rPr>
        <w:t>в том числе:</w:t>
        <w:tab/>
      </w:r>
    </w:p>
    <w:p>
      <w:pPr>
        <w:pStyle w:val="Normal"/>
        <w:spacing w:lineRule="auto" w:line="276"/>
        <w:jc w:val="both"/>
        <w:rPr>
          <w:sz w:val="28"/>
          <w:szCs w:val="28"/>
        </w:rPr>
      </w:pPr>
      <w:r>
        <w:rPr>
          <w:sz w:val="28"/>
          <w:szCs w:val="28"/>
        </w:rPr>
        <w:tab/>
        <w:t>-</w:t>
      </w:r>
      <w:r>
        <w:rPr>
          <w:sz w:val="28"/>
          <w:szCs w:val="28"/>
          <w:highlight w:val="yellow"/>
        </w:rPr>
        <w:t xml:space="preserve"> письмо Министерства природных ресурсов и экологии Российской Федерации от 13.07.2017 г. № 04-15-29/18079 «О согласовании лимита добычи охотничьих ресурсов на сезон охоты 2017-2018 гг.»;</w:t>
      </w:r>
    </w:p>
    <w:p>
      <w:pPr>
        <w:pStyle w:val="Normal"/>
        <w:spacing w:lineRule="auto" w:line="276"/>
        <w:jc w:val="both"/>
        <w:rPr/>
      </w:pPr>
      <w:r>
        <w:rPr>
          <w:sz w:val="28"/>
          <w:szCs w:val="28"/>
          <w:highlight w:val="yellow"/>
        </w:rPr>
        <w:tab/>
        <w:t>- проект устанавливаемых квот добычи лимитированных видов охотничьих ресурсов в охотничьих угодьях общего пользования и закрепленных охотничьих угодьях Ханты-Мансийского автономного округа – Югры в сезоне охоты 2018-2019 гг.;</w:t>
      </w:r>
    </w:p>
    <w:p>
      <w:pPr>
        <w:pStyle w:val="Normal"/>
        <w:spacing w:lineRule="auto" w:line="276"/>
        <w:ind w:firstLine="539"/>
        <w:jc w:val="both"/>
        <w:rPr/>
      </w:pPr>
      <w:r>
        <w:rPr>
          <w:sz w:val="28"/>
          <w:szCs w:val="28"/>
          <w:highlight w:val="yellow"/>
        </w:rPr>
        <w:tab/>
        <w:t>- сведения о мониторинге охотничьих ресурсов в Ханты-Мансийском автономном округе - Югре 2012-2017 гг., представлены Департаментом недропользования и природных ресурсов Ханты-мансийского автономного округа – Югры в Департамент государственной политики и регулирования в области охоты и сохранения охотничьих ресурсов министерства природных ресурсов и экологии Российской Федерации 10 мая 2018 года исх. № 12-Исх-10661;</w:t>
      </w:r>
    </w:p>
    <w:p>
      <w:pPr>
        <w:pStyle w:val="Style28"/>
        <w:numPr>
          <w:ilvl w:val="0"/>
          <w:numId w:val="0"/>
        </w:numPr>
        <w:ind w:firstLine="539"/>
        <w:rPr>
          <w:rFonts w:ascii="Calibri" w:hAnsi="Calibri" w:eastAsia="Calibri" w:cs="" w:asciiTheme="minorHAnsi" w:cstheme="minorBidi" w:eastAsiaTheme="minorHAnsi" w:hAnsiTheme="minorHAnsi"/>
        </w:rPr>
      </w:pPr>
      <w:r>
        <w:rPr>
          <w:rFonts w:cs="Times New Roman" w:ascii="Times New Roman" w:hAnsi="Times New Roman"/>
          <w:sz w:val="28"/>
          <w:szCs w:val="28"/>
        </w:rPr>
        <w:t>- отчет о государственном охотхозяйственном реестре предоставленный Департаментом недропользования и природных ресурсов Ханты-мансийского автономного округа – Югры в Департамент государственной политики и регулирования в области охоты и сохранения охотничьих ресурсов Министерства природных ресурсов и экологии Российской Федерации 14 сентября 2018 года исх. № 12-Исх-20957.</w:t>
      </w:r>
    </w:p>
    <w:p>
      <w:pPr>
        <w:pStyle w:val="Normal"/>
        <w:spacing w:lineRule="auto" w:line="276"/>
        <w:ind w:firstLine="540"/>
        <w:jc w:val="center"/>
        <w:rPr>
          <w:sz w:val="28"/>
          <w:szCs w:val="28"/>
          <w:highlight w:val="yellow"/>
        </w:rPr>
      </w:pPr>
      <w:r>
        <w:rPr>
          <w:sz w:val="28"/>
          <w:szCs w:val="28"/>
          <w:highlight w:val="yellow"/>
        </w:rPr>
      </w:r>
      <w:r>
        <w:br w:type="page"/>
      </w:r>
    </w:p>
    <w:p>
      <w:pPr>
        <w:pStyle w:val="Normal"/>
        <w:spacing w:lineRule="auto" w:line="276"/>
        <w:ind w:firstLine="540"/>
        <w:jc w:val="center"/>
        <w:rPr>
          <w:b/>
          <w:b/>
          <w:i/>
          <w:i/>
          <w:sz w:val="28"/>
          <w:szCs w:val="28"/>
        </w:rPr>
      </w:pPr>
      <w:r>
        <w:rPr>
          <w:b/>
          <w:i/>
          <w:sz w:val="28"/>
          <w:szCs w:val="28"/>
        </w:rPr>
        <w:t>Вводная часть.</w:t>
      </w:r>
    </w:p>
    <w:p>
      <w:pPr>
        <w:pStyle w:val="Normal"/>
        <w:spacing w:lineRule="auto" w:line="276"/>
        <w:ind w:firstLine="540"/>
        <w:jc w:val="center"/>
        <w:rPr>
          <w:b/>
          <w:b/>
          <w:i/>
          <w:i/>
          <w:sz w:val="28"/>
          <w:szCs w:val="28"/>
        </w:rPr>
      </w:pPr>
      <w:r>
        <w:rPr>
          <w:b/>
          <w:i/>
          <w:sz w:val="28"/>
          <w:szCs w:val="28"/>
        </w:rPr>
      </w:r>
    </w:p>
    <w:p>
      <w:pPr>
        <w:pStyle w:val="Normal"/>
        <w:spacing w:lineRule="auto" w:line="276"/>
        <w:ind w:firstLine="540"/>
        <w:jc w:val="both"/>
        <w:rPr>
          <w:sz w:val="28"/>
          <w:szCs w:val="28"/>
        </w:rPr>
      </w:pPr>
      <w:r>
        <w:rPr>
          <w:sz w:val="28"/>
          <w:szCs w:val="28"/>
        </w:rPr>
        <w:tab/>
        <w:t>В целях реализации статей 24, 33, 38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изъятие объектов животного мира осуществляется в пределах допустимого изъятия установленных приказом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w:t>
      </w:r>
    </w:p>
    <w:p>
      <w:pPr>
        <w:pStyle w:val="Normal"/>
        <w:spacing w:lineRule="auto" w:line="276"/>
        <w:ind w:firstLine="540"/>
        <w:jc w:val="both"/>
        <w:rPr>
          <w:sz w:val="28"/>
          <w:szCs w:val="28"/>
        </w:rPr>
      </w:pPr>
      <w:r>
        <w:rPr>
          <w:sz w:val="28"/>
          <w:szCs w:val="28"/>
        </w:rPr>
        <w:t>Порядок принятия документа об утверждении лимита добычи охотничьих ресурсов определён приказом Министерства природных ресурсов и экологии Российской Федерации от 29 июня 2010 года № 228 «Об утверждении порядка принятия документа об утверждении лимита добычи охотничьих ресурсов, внесения в него изменений и требований к его содержанию».</w:t>
      </w:r>
    </w:p>
    <w:p>
      <w:pPr>
        <w:pStyle w:val="Normal"/>
        <w:spacing w:lineRule="auto" w:line="276"/>
        <w:jc w:val="both"/>
        <w:rPr>
          <w:sz w:val="28"/>
          <w:szCs w:val="28"/>
        </w:rPr>
      </w:pPr>
      <w:r>
        <w:rPr>
          <w:sz w:val="28"/>
          <w:szCs w:val="28"/>
        </w:rPr>
        <w:tab/>
        <w:t>Добыча охотничьих ресурсов регламентируется:</w:t>
      </w:r>
    </w:p>
    <w:p>
      <w:pPr>
        <w:pStyle w:val="Normal"/>
        <w:spacing w:lineRule="auto" w:line="276"/>
        <w:jc w:val="both"/>
        <w:rPr/>
      </w:pPr>
      <w:r>
        <w:rPr>
          <w:sz w:val="28"/>
          <w:szCs w:val="28"/>
        </w:rPr>
        <w:tab/>
        <w:t>- Приказом Министерства природных ресурсов и экологии Российской Федерации от 16 ноября 2010 г. № 512 «Об утверждении правил охоты»;</w:t>
      </w:r>
    </w:p>
    <w:p>
      <w:pPr>
        <w:pStyle w:val="Normal"/>
        <w:spacing w:lineRule="auto" w:line="276"/>
        <w:jc w:val="both"/>
        <w:rPr/>
      </w:pPr>
      <w:r>
        <w:rPr>
          <w:sz w:val="28"/>
          <w:szCs w:val="28"/>
        </w:rPr>
        <w:tab/>
        <w:t>- Приказом Министерства природных ресурсов и экологии Российской Федерации от 29 августа 2014 года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pPr>
        <w:pStyle w:val="ListParagraph"/>
        <w:ind w:left="0" w:firstLine="1"/>
        <w:rPr/>
      </w:pPr>
      <w:r>
        <w:rPr/>
        <w:tab/>
        <w:t>- Законом Ханты-Мансийского автономного округа – Югры от                         29 октября 2007 года № 142-оз «О регулировании отдельных вопросов в области охраны и использования животного мира на территории Ханты-Мансийского автономного округа – Югры»;</w:t>
      </w:r>
    </w:p>
    <w:p>
      <w:pPr>
        <w:pStyle w:val="ListParagraph"/>
        <w:ind w:left="0" w:firstLine="1"/>
        <w:rPr/>
      </w:pPr>
      <w:r>
        <w:rPr/>
        <w:tab/>
        <w:t>- Законом Ханты-Мансийского автономного округа – Югры от                                  11 июня 2010 года № 96-оз «О регулировании отдельных отношений в области охоты и сохранения охотничьих ресурсов на территории           Ханты-Мансийского автономного округа – Югры»;</w:t>
      </w:r>
    </w:p>
    <w:p>
      <w:pPr>
        <w:pStyle w:val="Normal"/>
        <w:spacing w:lineRule="auto" w:line="276"/>
        <w:ind w:firstLine="1"/>
        <w:jc w:val="both"/>
        <w:rPr/>
      </w:pPr>
      <w:r>
        <w:rPr>
          <w:sz w:val="28"/>
          <w:szCs w:val="28"/>
        </w:rPr>
        <w:tab/>
        <w:t>-</w:t>
      </w:r>
      <w:r>
        <w:rPr>
          <w:sz w:val="28"/>
          <w:szCs w:val="28"/>
          <w:highlight w:val="yellow"/>
        </w:rPr>
        <w:t xml:space="preserve"> Постановление Губернатора Ханты-Мансийского автономного                    округа – Югры от 25 июля 2017 года № 84 «Об утверждении лимитов добычи охотничьих ресурсов с 1 августа 2017 года по 1 августа 2018 года в Ханты-Мансийском автономном округе – Югре».</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ab/>
        <w:t>Целью нормирования добычи охотничьих ресурсов и установление объёмов (лимитов) их изъятия является - рациональное (не истощительное) использование охотничьих ресурсов, их охрана, а значит управление их численностью. При этом учитывается их высокая динамичность при постоянном слежении за изменениями их численности и добычи, то есть ведение мониторинга охотничьих ресурсов.</w:t>
      </w:r>
    </w:p>
    <w:p>
      <w:pPr>
        <w:pStyle w:val="Style28"/>
        <w:numPr>
          <w:ilvl w:val="0"/>
          <w:numId w:val="0"/>
        </w:numPr>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59" w:before="0" w:after="160"/>
        <w:rPr>
          <w:rFonts w:eastAsia="Calibri" w:eastAsiaTheme="minorHAnsi"/>
          <w:b/>
          <w:b/>
          <w:i/>
          <w:i/>
          <w:sz w:val="28"/>
          <w:szCs w:val="28"/>
        </w:rPr>
      </w:pPr>
      <w:r>
        <w:rPr>
          <w:rFonts w:eastAsia="Calibri" w:eastAsiaTheme="minorHAnsi"/>
          <w:b/>
          <w:i/>
          <w:sz w:val="28"/>
          <w:szCs w:val="28"/>
        </w:rPr>
      </w:r>
      <w:r>
        <w:br w:type="page"/>
      </w:r>
    </w:p>
    <w:p>
      <w:pPr>
        <w:pStyle w:val="Style28"/>
        <w:numPr>
          <w:ilvl w:val="0"/>
          <w:numId w:val="0"/>
        </w:numPr>
        <w:jc w:val="center"/>
        <w:rPr>
          <w:rFonts w:ascii="Times New Roman" w:hAnsi="Times New Roman" w:cs="Times New Roman"/>
          <w:b/>
          <w:b/>
          <w:i/>
          <w:i/>
          <w:sz w:val="28"/>
          <w:szCs w:val="28"/>
        </w:rPr>
      </w:pPr>
      <w:r>
        <w:rPr>
          <w:rFonts w:cs="Times New Roman" w:ascii="Times New Roman" w:hAnsi="Times New Roman"/>
          <w:b/>
          <w:i/>
          <w:sz w:val="28"/>
          <w:szCs w:val="28"/>
        </w:rPr>
        <w:t>Методики по проведению учетных работ охотничьих ресурсов</w:t>
      </w:r>
    </w:p>
    <w:p>
      <w:pPr>
        <w:pStyle w:val="Style28"/>
        <w:numPr>
          <w:ilvl w:val="0"/>
          <w:numId w:val="0"/>
        </w:numPr>
        <w:jc w:val="center"/>
        <w:rPr>
          <w:rFonts w:ascii="Times New Roman" w:hAnsi="Times New Roman" w:cs="Times New Roman"/>
          <w:b/>
          <w:b/>
          <w:i/>
          <w:i/>
          <w:sz w:val="28"/>
          <w:szCs w:val="28"/>
        </w:rPr>
      </w:pPr>
      <w:r>
        <w:rPr>
          <w:rFonts w:cs="Times New Roman" w:ascii="Times New Roman" w:hAnsi="Times New Roman"/>
          <w:b/>
          <w:i/>
          <w:sz w:val="28"/>
          <w:szCs w:val="28"/>
        </w:rPr>
      </w:r>
    </w:p>
    <w:p>
      <w:pPr>
        <w:pStyle w:val="Style28"/>
        <w:numPr>
          <w:ilvl w:val="0"/>
          <w:numId w:val="1"/>
        </w:numPr>
        <w:tabs>
          <w:tab w:val="clear" w:pos="708"/>
          <w:tab w:val="left" w:pos="0" w:leader="none"/>
        </w:tabs>
        <w:ind w:left="0" w:hanging="0"/>
        <w:rPr/>
      </w:pPr>
      <w:r>
        <w:rPr>
          <w:rFonts w:cs="Times New Roman" w:ascii="Times New Roman" w:hAnsi="Times New Roman"/>
          <w:sz w:val="28"/>
          <w:szCs w:val="28"/>
        </w:rPr>
        <w:t>Учет численности барсука (май-июль 2018 г.) проводился согласно сборника методических указаний по учетам охотничьих зверей и птиц (ХМАО-Югра, Управление по использованию рыбных и охотничьих ресурсов автономного округа, г. Ханты-Мансийск, 2006 г.);</w:t>
      </w:r>
    </w:p>
    <w:p>
      <w:pPr>
        <w:pStyle w:val="Style28"/>
        <w:numPr>
          <w:ilvl w:val="0"/>
          <w:numId w:val="1"/>
        </w:numPr>
        <w:tabs>
          <w:tab w:val="clear" w:pos="708"/>
          <w:tab w:val="left" w:pos="0" w:leader="none"/>
        </w:tabs>
        <w:ind w:left="0" w:hanging="0"/>
        <w:rPr/>
      </w:pPr>
      <w:r>
        <w:rPr>
          <w:rFonts w:cs="Times New Roman" w:ascii="Times New Roman" w:hAnsi="Times New Roman"/>
          <w:sz w:val="28"/>
          <w:szCs w:val="28"/>
        </w:rPr>
        <w:t>Учет численности бурого медведя (май-июль 2018 г.) согласно методических указаний Главного управления охотничьего хозяйства при совете Министров РСФСР;</w:t>
      </w:r>
    </w:p>
    <w:p>
      <w:pPr>
        <w:pStyle w:val="Style28"/>
        <w:numPr>
          <w:ilvl w:val="0"/>
          <w:numId w:val="1"/>
        </w:numPr>
        <w:tabs>
          <w:tab w:val="clear" w:pos="708"/>
          <w:tab w:val="left" w:pos="709" w:leader="none"/>
        </w:tabs>
        <w:ind w:left="0" w:hanging="0"/>
        <w:rPr/>
      </w:pPr>
      <w:r>
        <w:rPr>
          <w:rFonts w:cs="Times New Roman" w:ascii="Times New Roman" w:hAnsi="Times New Roman"/>
          <w:sz w:val="28"/>
          <w:szCs w:val="28"/>
        </w:rPr>
        <w:t>Учет численности выдры (октябрь-ноябрь 2018 г.)</w:t>
      </w:r>
      <w:r>
        <w:rPr>
          <w:sz w:val="28"/>
          <w:szCs w:val="28"/>
        </w:rPr>
        <w:t xml:space="preserve"> </w:t>
      </w:r>
      <w:r>
        <w:rPr>
          <w:rFonts w:cs="Times New Roman" w:ascii="Times New Roman" w:hAnsi="Times New Roman"/>
          <w:sz w:val="28"/>
          <w:szCs w:val="28"/>
        </w:rPr>
        <w:t>проводился согласно методических рекомендациям Государственной службы учета охотничьих ресурсов РСФСР Москва 1983 г.;</w:t>
      </w:r>
    </w:p>
    <w:p>
      <w:pPr>
        <w:pStyle w:val="Style28"/>
        <w:numPr>
          <w:ilvl w:val="0"/>
          <w:numId w:val="1"/>
        </w:numPr>
        <w:tabs>
          <w:tab w:val="clear" w:pos="708"/>
          <w:tab w:val="left" w:pos="709" w:leader="none"/>
        </w:tabs>
        <w:ind w:left="0" w:hanging="0"/>
        <w:rPr/>
      </w:pPr>
      <w:r>
        <w:rPr>
          <w:rFonts w:cs="Times New Roman" w:ascii="Times New Roman" w:hAnsi="Times New Roman"/>
          <w:sz w:val="28"/>
          <w:szCs w:val="28"/>
        </w:rPr>
        <w:t>Нормативы учетных работ при проведении зимнего маршрутного учета охотничьих животных на территории общедоступных охотничьих угодий Ханты-Мансийского автономного округа – Югры в 2019 году рассчитаны согласно приказа Министерства природных ресурсов и экологии Российской Федерации от 11 января 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pPr>
        <w:pStyle w:val="Normal"/>
        <w:jc w:val="right"/>
        <w:rPr/>
      </w:pPr>
      <w:r>
        <w:rPr/>
      </w:r>
    </w:p>
    <w:p>
      <w:pPr>
        <w:pStyle w:val="Normal"/>
        <w:jc w:val="right"/>
        <w:rPr>
          <w:sz w:val="20"/>
          <w:szCs w:val="20"/>
        </w:rPr>
      </w:pPr>
      <w:r>
        <w:rPr/>
        <w:t>Таблица 1</w:t>
      </w:r>
    </w:p>
    <w:p>
      <w:pPr>
        <w:pStyle w:val="Normal"/>
        <w:jc w:val="center"/>
        <w:rPr/>
      </w:pPr>
      <w:r>
        <w:rPr>
          <w:b/>
          <w:sz w:val="28"/>
          <w:szCs w:val="28"/>
        </w:rPr>
        <w:t xml:space="preserve">Площадь и протяженность маршрутов ЗМУ на ООУ включая </w:t>
      </w:r>
    </w:p>
    <w:p>
      <w:pPr>
        <w:pStyle w:val="Normal"/>
        <w:jc w:val="center"/>
        <w:rPr/>
      </w:pPr>
      <w:r>
        <w:rPr>
          <w:b/>
          <w:sz w:val="28"/>
          <w:szCs w:val="28"/>
        </w:rPr>
        <w:t>ТТП в 2019 году</w:t>
      </w:r>
    </w:p>
    <w:p>
      <w:pPr>
        <w:pStyle w:val="Normal"/>
        <w:jc w:val="center"/>
        <w:rPr>
          <w:b/>
          <w:b/>
          <w:sz w:val="28"/>
          <w:szCs w:val="28"/>
        </w:rPr>
      </w:pPr>
      <w:r>
        <w:rPr>
          <w:b/>
          <w:sz w:val="28"/>
          <w:szCs w:val="28"/>
        </w:rPr>
      </w:r>
    </w:p>
    <w:tbl>
      <w:tblPr>
        <w:tblpPr w:bottomFromText="0" w:horzAnchor="margin" w:leftFromText="180" w:rightFromText="180" w:tblpX="0" w:tblpY="69" w:topFromText="0" w:vertAnchor="text"/>
        <w:tblW w:w="949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8" w:type="dxa"/>
          <w:bottom w:w="0" w:type="dxa"/>
          <w:right w:w="108" w:type="dxa"/>
        </w:tblCellMar>
        <w:tblLook w:firstRow="1" w:noVBand="1" w:lastRow="0" w:firstColumn="1" w:lastColumn="0" w:noHBand="0" w:val="04a0"/>
      </w:tblPr>
      <w:tblGrid>
        <w:gridCol w:w="3459"/>
        <w:gridCol w:w="2265"/>
        <w:gridCol w:w="1895"/>
        <w:gridCol w:w="1875"/>
      </w:tblGrid>
      <w:tr>
        <w:trPr>
          <w:trHeight w:val="1245" w:hRule="atLeast"/>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pPr>
            <w:r>
              <w:rPr/>
              <w:t>Наименование муниципального образования, на территории которого находятся охотничьи угодья</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pPr>
            <w:r>
              <w:rPr/>
              <w:t>Площадь общедоступных охотничьих угодий и ТТП,  тыс. га</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pPr>
            <w:r>
              <w:rPr/>
              <w:t>Протяженность маршрутов, км</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pPr>
            <w:r>
              <w:rPr/>
              <w:t>Количество ведомостей ЗМУ</w:t>
            </w:r>
          </w:p>
        </w:tc>
      </w:tr>
      <w:tr>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Белоярский</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2717,90</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619,5</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64</w:t>
            </w:r>
          </w:p>
        </w:tc>
      </w:tr>
      <w:tr>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Берёзовский</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3652,06</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737,8</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61</w:t>
            </w:r>
          </w:p>
        </w:tc>
      </w:tr>
      <w:tr>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Кондинский</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4064,69</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736,47</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62</w:t>
            </w:r>
          </w:p>
        </w:tc>
      </w:tr>
      <w:tr>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Нефтеюганский</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1227,69</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488,7</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49</w:t>
            </w:r>
          </w:p>
        </w:tc>
      </w:tr>
      <w:tr>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Нижневартовский</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4837,96</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813,8</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67</w:t>
            </w:r>
          </w:p>
        </w:tc>
      </w:tr>
      <w:tr>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Октябрьский</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1389,74</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469,4</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47</w:t>
            </w:r>
          </w:p>
        </w:tc>
      </w:tr>
      <w:tr>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Советский</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1569,68</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486,97</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42</w:t>
            </w:r>
          </w:p>
        </w:tc>
      </w:tr>
      <w:tr>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Сургутский</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8256,43</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1160,9</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103</w:t>
            </w:r>
          </w:p>
        </w:tc>
      </w:tr>
      <w:tr>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Ханты-Мансийский</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1004,89</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449,4</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47</w:t>
            </w:r>
          </w:p>
        </w:tc>
      </w:tr>
      <w:tr>
        <w:trPr>
          <w:trHeight w:val="270" w:hRule="atLeast"/>
        </w:trPr>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Итого:</w:t>
            </w:r>
          </w:p>
        </w:tc>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28721,04</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w:t>
            </w:r>
          </w:p>
        </w:tc>
      </w:tr>
    </w:tbl>
    <w:p>
      <w:pPr>
        <w:pStyle w:val="Normal"/>
        <w:jc w:val="right"/>
        <w:rPr/>
      </w:pPr>
      <w:r>
        <w:rPr/>
        <w:t xml:space="preserve">                                              </w:t>
      </w:r>
      <w:r>
        <w:rPr/>
        <w:t>Таблица 2</w:t>
      </w:r>
    </w:p>
    <w:p>
      <w:pPr>
        <w:pStyle w:val="Normal"/>
        <w:jc w:val="center"/>
        <w:rPr/>
      </w:pPr>
      <w:r>
        <w:rPr>
          <w:b/>
          <w:sz w:val="28"/>
          <w:szCs w:val="28"/>
        </w:rPr>
        <w:t>Площадь и протяженность маршрутов ЗМУ на территории закрепленных охотугодий в 2019 году</w:t>
      </w:r>
    </w:p>
    <w:p>
      <w:pPr>
        <w:pStyle w:val="Normal"/>
        <w:rPr/>
      </w:pPr>
      <w:r>
        <w:rPr/>
      </w:r>
    </w:p>
    <w:tbl>
      <w:tblPr>
        <w:tblW w:w="892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819"/>
        <w:gridCol w:w="2174"/>
        <w:gridCol w:w="2061"/>
        <w:gridCol w:w="1866"/>
      </w:tblGrid>
      <w:tr>
        <w:trPr>
          <w:trHeight w:val="2122" w:hRule="atLeast"/>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313" w:hanging="0"/>
              <w:jc w:val="center"/>
              <w:rPr>
                <w:sz w:val="24"/>
                <w:szCs w:val="24"/>
              </w:rPr>
            </w:pPr>
            <w:r>
              <w:rPr>
                <w:sz w:val="24"/>
                <w:szCs w:val="24"/>
              </w:rPr>
              <w:t>Наименование муниципального образования, на территории которого находятся охотничьи угодья</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176" w:hanging="0"/>
              <w:jc w:val="center"/>
              <w:rPr>
                <w:sz w:val="24"/>
                <w:szCs w:val="24"/>
              </w:rPr>
            </w:pPr>
            <w:r>
              <w:rPr>
                <w:sz w:val="24"/>
                <w:szCs w:val="24"/>
              </w:rPr>
              <w:t>Площадь закрепленных охотугодий по материалам ЗМУ тыс.га</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Протяженность маршрутов, км</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Количество ведомостей ЗМУ</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Белоярский</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red"/>
              </w:rPr>
            </w:pPr>
            <w:r>
              <w:rPr/>
              <w:t>-</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Берёзовский</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2198,39</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3318,4</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294</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Кондинский</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1069,45</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1826,8</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183</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Нефтеюганский</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1196,613</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2388,8</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235</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Нижневартовский</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3286,663</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2422,1</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229</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Октябрьский</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656,63</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1821,5</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178</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Советский</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676,08</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2577,2</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251</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Сургутский</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1116,1</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814,8</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78</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Ханты-Мансийский</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2248,24</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11782,21</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1141</w:t>
            </w:r>
          </w:p>
        </w:tc>
      </w:tr>
      <w:tr>
        <w:trPr/>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Итого:</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12448,16</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26951,81</w:t>
            </w:r>
          </w:p>
        </w:tc>
        <w:tc>
          <w:tcPr>
            <w:tcW w:w="1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2589</w:t>
            </w:r>
          </w:p>
        </w:tc>
      </w:tr>
    </w:tbl>
    <w:p>
      <w:pPr>
        <w:pStyle w:val="Normal"/>
        <w:jc w:val="both"/>
        <w:rPr>
          <w:sz w:val="28"/>
          <w:szCs w:val="28"/>
        </w:rPr>
      </w:pPr>
      <w:r>
        <w:rPr>
          <w:sz w:val="28"/>
          <w:szCs w:val="28"/>
        </w:rPr>
      </w:r>
    </w:p>
    <w:p>
      <w:pPr>
        <w:pStyle w:val="Normal"/>
        <w:spacing w:lineRule="auto" w:line="276"/>
        <w:ind w:firstLine="567"/>
        <w:jc w:val="both"/>
        <w:rPr/>
      </w:pPr>
      <w:r>
        <w:rPr>
          <w:sz w:val="28"/>
          <w:szCs w:val="28"/>
        </w:rPr>
        <w:tab/>
        <w:t xml:space="preserve">В охотничьих угодьях Югры учет охотничьих зверей и птиц проводился в 2019 году согласно приказа Министерства природных ресурсов и экологии Российской Федерации от 11 января 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Настоящие Методические указания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предназначены для использования уполномоченными органами исполнительной власти субъектов Российской Федерации при реализации ими переданного Российской Федерацией отдельного полномочия по осуществлению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территориях федерального значения, с целью получения сведений о численности копытных, пушных животных и птиц, отнесенных в соответствии с Федеральным </w:t>
      </w:r>
      <w:hyperlink r:id="rId2">
        <w:r>
          <w:rPr>
            <w:rStyle w:val="ListLabel3"/>
            <w:sz w:val="28"/>
            <w:szCs w:val="28"/>
          </w:rPr>
          <w:t>законом</w:t>
        </w:r>
      </w:hyperlink>
      <w:r>
        <w:rPr>
          <w:sz w:val="28"/>
          <w:szCs w:val="28"/>
        </w:rPr>
        <w:t xml:space="preserve"> от 24 июля 2009 года № 209-ФЗ «Об охоте и о сохранении охотничьих ресурсов и о внесении изменений в отдельные законодательные акты Российской Федерации».</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Настоящие Методические указания используются при определении численности лося, косуль, кабана, благородного оленя, пятнистого оленя, дикого северного оленя, кабарги, рыси, волка, лисицы, корсака, соболя, куниц, хорей, росомахи, горностая, колонка, белок, зайца-беляка, зайца-русака (далее - звери), рябчика, тетерева, глухарей, белой и серой куропаток, фазана (далее - птицы).</w:t>
      </w:r>
    </w:p>
    <w:p>
      <w:pPr>
        <w:pStyle w:val="ConsPlusNormal"/>
        <w:spacing w:lineRule="auto" w:line="276"/>
        <w:ind w:firstLine="567"/>
        <w:jc w:val="both"/>
        <w:rPr/>
      </w:pPr>
      <w:r>
        <w:rPr>
          <w:rFonts w:cs="Times New Roman" w:ascii="Times New Roman" w:hAnsi="Times New Roman"/>
          <w:sz w:val="28"/>
          <w:szCs w:val="28"/>
        </w:rPr>
        <w:t xml:space="preserve">Данные учета численности зверей и птиц методом зимнего маршрутного учета используются при определении квот добычи соответствующих видов охотничьих ресурсов, норм допустимой добычи охотничьих ресурсов и норм пропускной способности охотничьих угодий, принятии решения органами государственной власти о регулировании численности охотничьих ресурсов, осуществлении анализа состояния популяций охотничьих ресурсов. Настоящие Методические указания применяются на территориях с устойчивым снежным покровом (снежный покров сохраняется более одного месяца), за исключением тундровой зоны и высокогорий. На территориях с неустойчивым снежным покровом (снежный покров сохраняется менее одного месяца) настоящие Методические указания применяются в случаях, если появляется устойчивый снежный покров. Полевые работы по подсчету на учетном маршруте следов зверей на снегу и визуальная регистрация птиц (далее - учет) на территориях с устойчивым снежным покровом проводятся в период с 1 января по 28 февраля (далее - сезон проведения учета). Период проведения учета на территориях с неустойчивым снежным покровом определяется наличием снежного покрова. Протяженность одного учетного маршрута должна составлять не менее 5 и не более 15 км. На исследуемой территории площадью до          200 тыс. га определяется не менее 35 учетных маршрутов, общей протяженностью не менее 350 км. </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Учет проводился по заранее определенным учетным маршрутам с одновременной записью параметров прохождения учетного маршрута на приемник глобальных спутниковых навигационных систем (далее - спутниковый навигатор).</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Параметрами прохождения учетного маршрута были путевые точки начала учетного маршрута, его поворотов и окончания или полный электронный трек учетного маршрута, рассчитанные спутниковым навигатором во время осуществления учета.</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После прохождения каждого учетного маршрута учётчиками заполнялась ведомость зимнего маршрутного учета и на схему учетного маршрута заносились параметры учетного маршрута, рассчитанные спутниковым навигатором, во время осуществления учета.</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Выполнена оценка качества ведомостей зимнего маршрутного учета, их обработка и расчет численности зверей и птиц.</w:t>
      </w:r>
    </w:p>
    <w:p>
      <w:pPr>
        <w:pStyle w:val="ConsPlusNormal"/>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 xml:space="preserve">В результате полученных расчётов численности зверей и птиц в общедоступных и закреплённых охотничьих угодьях ХМАО-Югры получена достаточно информативная картина состояния охотничьей фауны, позволяющая судить о фазах и уровне их численности. Показательны в этом плане не только данные регистрации определенных сведений, сколько познание закономерностей распределения ресурсов диких животных, их пространственного и временного изменения. </w:t>
      </w:r>
    </w:p>
    <w:p>
      <w:pPr>
        <w:pStyle w:val="Normal"/>
        <w:spacing w:lineRule="auto" w:line="276"/>
        <w:ind w:firstLine="567"/>
        <w:jc w:val="both"/>
        <w:rPr/>
      </w:pPr>
      <w:r>
        <w:rPr>
          <w:sz w:val="28"/>
          <w:szCs w:val="28"/>
        </w:rPr>
        <w:t>Охотничьи виды пушных зверей включают млекопитающих, являющихся источником сырья для меховой промышленности. К числу основных пушных видов, обитающих на территории автономного округа, относятся белка, соболь, норка, горностай, колонок, куница, выдра, росомаха, лисица, волк, рысь, ондатра, заяц-беляк, барсук.</w:t>
      </w:r>
    </w:p>
    <w:p>
      <w:pPr>
        <w:pStyle w:val="Normal"/>
        <w:spacing w:lineRule="auto" w:line="276"/>
        <w:ind w:firstLine="567"/>
        <w:jc w:val="both"/>
        <w:rPr>
          <w:sz w:val="28"/>
          <w:szCs w:val="28"/>
        </w:rPr>
      </w:pPr>
      <w:r>
        <w:rPr>
          <w:sz w:val="28"/>
          <w:szCs w:val="28"/>
        </w:rPr>
        <w:t xml:space="preserve">Дикие копытные животные представлены на территории автономного округа лосем, северным оленем и кабаном. </w:t>
      </w:r>
    </w:p>
    <w:p>
      <w:pPr>
        <w:pStyle w:val="Normal"/>
        <w:spacing w:lineRule="auto" w:line="276"/>
        <w:ind w:firstLine="567"/>
        <w:jc w:val="both"/>
        <w:rPr/>
      </w:pPr>
      <w:r>
        <w:rPr>
          <w:sz w:val="28"/>
          <w:szCs w:val="28"/>
        </w:rPr>
        <w:t>При расчете численности охотничьих ресурсов использовались пересчетные коэффициенты, согласно приказу Министерства природных ресурсов и экологии Российской Федерации от 11 января 2012 года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pPr>
        <w:pStyle w:val="Normal"/>
        <w:spacing w:lineRule="auto" w:line="276"/>
        <w:ind w:hanging="0"/>
        <w:jc w:val="both"/>
        <w:rPr/>
      </w:pPr>
      <w:r>
        <w:rPr>
          <w:sz w:val="28"/>
          <w:szCs w:val="28"/>
        </w:rPr>
        <w:tab/>
        <w:t xml:space="preserve">Нормативы учетных работ учета медведя на территории общедоступных охотничьих угодий Ханты-Мансийского автономного округа – Югры в 2018 году рассчитаны согласно методических указаний Главного управления охотничьего хозяйства при совете Министров РСФСР. </w:t>
      </w:r>
    </w:p>
    <w:p>
      <w:pPr>
        <w:pStyle w:val="Normal"/>
        <w:spacing w:lineRule="auto" w:line="276"/>
        <w:ind w:firstLine="567"/>
        <w:jc w:val="both"/>
        <w:rPr/>
      </w:pPr>
      <w:r>
        <w:rPr/>
      </w:r>
    </w:p>
    <w:p>
      <w:pPr>
        <w:pStyle w:val="Normal"/>
        <w:spacing w:lineRule="auto" w:line="276"/>
        <w:ind w:firstLine="567"/>
        <w:jc w:val="both"/>
        <w:rPr/>
      </w:pPr>
      <w:r>
        <w:rPr/>
      </w:r>
    </w:p>
    <w:p>
      <w:pPr>
        <w:pStyle w:val="Normal"/>
        <w:spacing w:lineRule="auto" w:line="276"/>
        <w:ind w:firstLine="567"/>
        <w:jc w:val="both"/>
        <w:rPr/>
      </w:pPr>
      <w:r>
        <w:rPr/>
      </w:r>
    </w:p>
    <w:p>
      <w:pPr>
        <w:pStyle w:val="Normal"/>
        <w:spacing w:lineRule="auto" w:line="276"/>
        <w:ind w:firstLine="567"/>
        <w:jc w:val="both"/>
        <w:rPr/>
      </w:pPr>
      <w:r>
        <w:rPr/>
      </w:r>
    </w:p>
    <w:p>
      <w:pPr>
        <w:pStyle w:val="Normal"/>
        <w:spacing w:lineRule="auto" w:line="276"/>
        <w:ind w:firstLine="567"/>
        <w:jc w:val="right"/>
        <w:rPr/>
      </w:pPr>
      <w:r>
        <w:rPr/>
        <w:t>Таблица 3</w:t>
      </w:r>
    </w:p>
    <w:p>
      <w:pPr>
        <w:pStyle w:val="Normal"/>
        <w:jc w:val="center"/>
        <w:rPr/>
      </w:pPr>
      <w:r>
        <w:rPr>
          <w:b/>
          <w:sz w:val="28"/>
          <w:szCs w:val="28"/>
        </w:rPr>
        <w:t>Площадь пригодная для обитания медведя и площадь обследованных участков на ООУ включая ТТП в 2018 году</w:t>
      </w:r>
    </w:p>
    <w:p>
      <w:pPr>
        <w:pStyle w:val="Normal"/>
        <w:jc w:val="center"/>
        <w:rPr>
          <w:b/>
          <w:b/>
          <w:sz w:val="28"/>
          <w:szCs w:val="28"/>
        </w:rPr>
      </w:pPr>
      <w:r>
        <w:rPr>
          <w:b/>
          <w:sz w:val="28"/>
          <w:szCs w:val="28"/>
        </w:rPr>
      </w:r>
    </w:p>
    <w:tbl>
      <w:tblPr>
        <w:tblpPr w:bottomFromText="0" w:horzAnchor="margin" w:leftFromText="180" w:rightFromText="180" w:tblpX="0" w:tblpY="69" w:topFromText="0" w:vertAnchor="text"/>
        <w:tblW w:w="90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8" w:type="dxa"/>
          <w:bottom w:w="0" w:type="dxa"/>
          <w:right w:w="108" w:type="dxa"/>
        </w:tblCellMar>
        <w:tblLook w:firstRow="1" w:noVBand="1" w:lastRow="0" w:firstColumn="1" w:lastColumn="0" w:noHBand="0" w:val="04a0"/>
      </w:tblPr>
      <w:tblGrid>
        <w:gridCol w:w="3226"/>
        <w:gridCol w:w="3686"/>
        <w:gridCol w:w="2127"/>
      </w:tblGrid>
      <w:tr>
        <w:trPr>
          <w:trHeight w:val="1548" w:hRule="atLeast"/>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Наименование муниципального образования, на территории которого находятся охотничьи угодья</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Площадь пригодная для обитания медведя на общедоступных охотничьих угодий и ТТП,  тыс. га</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601" w:right="318" w:hanging="0"/>
              <w:jc w:val="center"/>
              <w:rPr/>
            </w:pPr>
            <w:r>
              <w:rPr/>
              <w:t>Площадь обследованных участков тыс.га</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Белоярский</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2607,9</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268,614</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Берёзовский</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3926,005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520</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Кондинский</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4064,697</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406,47</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Нефтеюганский</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1227,68</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126,0</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Нижневартовский</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3381,13</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491,52</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Октябрьский</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1483,12</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550,0</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Советский</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1569,6</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201,1</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Сургутский</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8256,44</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1301,273</w:t>
            </w:r>
          </w:p>
        </w:tc>
      </w:tr>
      <w:tr>
        <w:trPr>
          <w:trHeight w:val="310" w:hRule="atLeast"/>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Ханты-Мансийский</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1004,89</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109,65</w:t>
            </w:r>
          </w:p>
        </w:tc>
      </w:tr>
      <w:tr>
        <w:trPr>
          <w:trHeight w:val="270" w:hRule="atLeast"/>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Итого:</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27521,462</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3974,627</w:t>
            </w:r>
          </w:p>
        </w:tc>
      </w:tr>
    </w:tbl>
    <w:p>
      <w:pPr>
        <w:pStyle w:val="Style28"/>
        <w:numPr>
          <w:ilvl w:val="0"/>
          <w:numId w:val="0"/>
        </w:numPr>
        <w:rPr>
          <w:rFonts w:ascii="Times New Roman" w:hAnsi="Times New Roman" w:cs="Times New Roman"/>
          <w:sz w:val="28"/>
          <w:szCs w:val="28"/>
        </w:rPr>
      </w:pPr>
      <w:r>
        <w:rPr>
          <w:rFonts w:cs="Times New Roman" w:ascii="Times New Roman" w:hAnsi="Times New Roman"/>
          <w:sz w:val="28"/>
          <w:szCs w:val="28"/>
        </w:rPr>
        <w:t xml:space="preserve">          </w:t>
      </w:r>
    </w:p>
    <w:p>
      <w:pPr>
        <w:pStyle w:val="Style28"/>
        <w:numPr>
          <w:ilvl w:val="0"/>
          <w:numId w:val="0"/>
        </w:numPr>
        <w:ind w:firstLine="708"/>
        <w:rPr/>
      </w:pPr>
      <w:r>
        <w:rPr>
          <w:rFonts w:cs="Times New Roman" w:ascii="Times New Roman" w:hAnsi="Times New Roman"/>
          <w:sz w:val="28"/>
          <w:szCs w:val="28"/>
        </w:rPr>
        <w:t>Нормативы работ по учету барсука на территории общедоступных охотничьих угодий включая территории традиционного природопользования Ханты-Мансийского автономного округа – Югры в 2018 году рассчитаны согласно сборника методических указаний по учетам охотничьих зверей и птиц (ХМАО-Югра, Управление по использованию рыбных и охотничьих ресурсов автономного округа,               г. Ханты-Мансийск, 2006 г.).</w:t>
      </w:r>
    </w:p>
    <w:p>
      <w:pPr>
        <w:pStyle w:val="Style28"/>
        <w:numPr>
          <w:ilvl w:val="0"/>
          <w:numId w:val="0"/>
        </w:numPr>
        <w:ind w:firstLine="708"/>
        <w:rPr>
          <w:rFonts w:ascii="Times New Roman" w:hAnsi="Times New Roman" w:cs="Times New Roman"/>
          <w:sz w:val="28"/>
          <w:szCs w:val="28"/>
        </w:rPr>
      </w:pPr>
      <w:r>
        <w:rPr>
          <w:rFonts w:cs="Times New Roman" w:ascii="Times New Roman" w:hAnsi="Times New Roman"/>
          <w:sz w:val="28"/>
          <w:szCs w:val="28"/>
        </w:rPr>
      </w:r>
    </w:p>
    <w:p>
      <w:pPr>
        <w:pStyle w:val="Style28"/>
        <w:numPr>
          <w:ilvl w:val="0"/>
          <w:numId w:val="0"/>
        </w:numPr>
        <w:jc w:val="right"/>
        <w:rPr>
          <w:rFonts w:ascii="Times New Roman" w:hAnsi="Times New Roman" w:cs="Times New Roman"/>
          <w:sz w:val="24"/>
          <w:szCs w:val="24"/>
        </w:rPr>
      </w:pPr>
      <w:r>
        <w:rPr>
          <w:rFonts w:cs="Times New Roman" w:ascii="Times New Roman" w:hAnsi="Times New Roman"/>
          <w:sz w:val="24"/>
          <w:szCs w:val="24"/>
        </w:rPr>
        <w:t>Таблица 4</w:t>
      </w:r>
    </w:p>
    <w:p>
      <w:pPr>
        <w:pStyle w:val="Normal"/>
        <w:jc w:val="center"/>
        <w:rPr/>
      </w:pPr>
      <w:r>
        <w:rPr>
          <w:b/>
          <w:sz w:val="28"/>
          <w:szCs w:val="28"/>
        </w:rPr>
        <w:t>Площадь пригодная для обитания барсука и площадь обследованных участков на ООУ включая ТТП в 2018 году</w:t>
      </w:r>
    </w:p>
    <w:p>
      <w:pPr>
        <w:pStyle w:val="Normal"/>
        <w:jc w:val="center"/>
        <w:rPr>
          <w:b/>
          <w:b/>
          <w:sz w:val="28"/>
          <w:szCs w:val="28"/>
        </w:rPr>
      </w:pPr>
      <w:r>
        <w:rPr>
          <w:b/>
          <w:sz w:val="28"/>
          <w:szCs w:val="28"/>
        </w:rPr>
      </w:r>
    </w:p>
    <w:tbl>
      <w:tblPr>
        <w:tblpPr w:bottomFromText="0" w:horzAnchor="margin" w:leftFromText="180" w:rightFromText="180" w:tblpX="0" w:tblpY="69" w:topFromText="0" w:vertAnchor="text"/>
        <w:tblW w:w="946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8" w:type="dxa"/>
          <w:bottom w:w="0" w:type="dxa"/>
          <w:right w:w="108" w:type="dxa"/>
        </w:tblCellMar>
        <w:tblLook w:firstRow="1" w:noVBand="1" w:lastRow="0" w:firstColumn="1" w:lastColumn="0" w:noHBand="0" w:val="04a0"/>
      </w:tblPr>
      <w:tblGrid>
        <w:gridCol w:w="3369"/>
        <w:gridCol w:w="3685"/>
        <w:gridCol w:w="2410"/>
      </w:tblGrid>
      <w:tr>
        <w:trPr>
          <w:trHeight w:val="1415" w:hRule="atLeast"/>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Наименование муниципального образования, на территории которого находятся охотничьи угодья</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Площадь пригодная для обитания барсука на общедоступных охотничьих угодьях и ТТП, тыс. га</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Площадь обследованных участков тыс.га</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Белоярский</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2717,9</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0,29</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Берёзовский</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Кондинский</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4064,697</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25</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Нефтеюганский</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1263,4</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142</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Нижневартовский</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3381,13</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346,1</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Октябрьский</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1483,122</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170</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Советский</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1812,3</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145</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Сургутский</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8481,1</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1953</w:t>
            </w:r>
          </w:p>
        </w:tc>
      </w:tr>
      <w:tr>
        <w:trPr>
          <w:trHeight w:val="310" w:hRule="atLeast"/>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Ханты-Мансийский</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1004,89</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41</w:t>
            </w:r>
          </w:p>
        </w:tc>
      </w:tr>
      <w:tr>
        <w:trPr>
          <w:trHeight w:val="270" w:hRule="atLeast"/>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Итого:</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24208,539</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2822,39</w:t>
            </w:r>
          </w:p>
        </w:tc>
      </w:tr>
    </w:tbl>
    <w:p>
      <w:pPr>
        <w:pStyle w:val="Style28"/>
        <w:numPr>
          <w:ilvl w:val="0"/>
          <w:numId w:val="0"/>
        </w:numPr>
        <w:ind w:firstLine="708"/>
        <w:rPr>
          <w:rFonts w:ascii="Times New Roman" w:hAnsi="Times New Roman" w:cs="Times New Roman"/>
          <w:sz w:val="28"/>
          <w:szCs w:val="28"/>
        </w:rPr>
      </w:pPr>
      <w:r>
        <w:rPr>
          <w:rFonts w:cs="Times New Roman" w:ascii="Times New Roman" w:hAnsi="Times New Roman"/>
          <w:sz w:val="28"/>
          <w:szCs w:val="28"/>
        </w:rPr>
      </w:r>
    </w:p>
    <w:p>
      <w:pPr>
        <w:pStyle w:val="Style28"/>
        <w:numPr>
          <w:ilvl w:val="0"/>
          <w:numId w:val="0"/>
        </w:numPr>
        <w:ind w:firstLine="708"/>
        <w:rPr/>
      </w:pPr>
      <w:r>
        <w:rPr>
          <w:rFonts w:cs="Times New Roman" w:ascii="Times New Roman" w:hAnsi="Times New Roman"/>
          <w:sz w:val="28"/>
          <w:szCs w:val="28"/>
        </w:rPr>
        <w:t>Нормативы работ по учету выдры на территории общедоступных охотничьих угодий включая территории традиционного природопользования Ханты-Мансийского автономного округа – Югры в 2018 году рассчитаны в соответствии с методических рекомендациям Государственной службы учета охотничьих ресурсов РСФСР                    Москва 1983 г.</w:t>
      </w:r>
    </w:p>
    <w:p>
      <w:pPr>
        <w:pStyle w:val="Style28"/>
        <w:numPr>
          <w:ilvl w:val="0"/>
          <w:numId w:val="0"/>
        </w:numPr>
        <w:ind w:firstLine="708"/>
        <w:rPr>
          <w:b/>
          <w:b/>
          <w:sz w:val="28"/>
          <w:szCs w:val="28"/>
        </w:rPr>
      </w:pPr>
      <w:r>
        <w:rPr>
          <w:b/>
          <w:sz w:val="28"/>
          <w:szCs w:val="28"/>
        </w:rPr>
      </w:r>
    </w:p>
    <w:p>
      <w:pPr>
        <w:pStyle w:val="Normal"/>
        <w:jc w:val="right"/>
        <w:rPr/>
      </w:pPr>
      <w:r>
        <w:rPr/>
        <w:t>Таблица 5</w:t>
      </w:r>
    </w:p>
    <w:p>
      <w:pPr>
        <w:pStyle w:val="Normal"/>
        <w:jc w:val="center"/>
        <w:rPr/>
      </w:pPr>
      <w:r>
        <w:rPr>
          <w:b/>
          <w:sz w:val="28"/>
          <w:szCs w:val="28"/>
        </w:rPr>
        <w:t>Количество сданных ведомостей выдры и площадь обследованных участков на ООУ включая ТТП в 2018 году</w:t>
      </w:r>
    </w:p>
    <w:p>
      <w:pPr>
        <w:pStyle w:val="Normal"/>
        <w:jc w:val="center"/>
        <w:rPr>
          <w:b/>
          <w:b/>
          <w:sz w:val="28"/>
          <w:szCs w:val="28"/>
        </w:rPr>
      </w:pPr>
      <w:r>
        <w:rPr>
          <w:b/>
          <w:sz w:val="28"/>
          <w:szCs w:val="28"/>
        </w:rPr>
      </w:r>
    </w:p>
    <w:tbl>
      <w:tblPr>
        <w:tblpPr w:bottomFromText="0" w:horzAnchor="margin" w:leftFromText="180" w:rightFromText="180" w:tblpX="0" w:tblpY="69" w:topFromText="0" w:vertAnchor="text"/>
        <w:tblW w:w="946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8" w:type="dxa"/>
          <w:bottom w:w="0" w:type="dxa"/>
          <w:right w:w="108" w:type="dxa"/>
        </w:tblCellMar>
        <w:tblLook w:firstRow="1" w:noVBand="1" w:lastRow="0" w:firstColumn="1" w:lastColumn="0" w:noHBand="0" w:val="04a0"/>
      </w:tblPr>
      <w:tblGrid>
        <w:gridCol w:w="3227"/>
        <w:gridCol w:w="2977"/>
        <w:gridCol w:w="3260"/>
      </w:tblGrid>
      <w:tr>
        <w:trPr>
          <w:trHeight w:val="1546" w:hRule="atLeast"/>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Наименование муниципального образования, на территории которого находятся охотничьи угодья</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Общая протяженность береговой линий, км.</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Протяженность обследованной береговой линии, км.</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Белоярский</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highlight w:val="yellow"/>
              </w:rPr>
            </w:pPr>
            <w:r>
              <w:rPr/>
              <w:t>1210</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242</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Берёзовский</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410</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68</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Кондинский</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1419</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143</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Нефтеюганский</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126</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63</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Нижневартовский</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446</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156</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Октябрьский</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695</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105</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Советский</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423</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60</w:t>
            </w:r>
          </w:p>
        </w:tc>
      </w:tr>
      <w:tr>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Сургутский</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696</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59</w:t>
            </w:r>
          </w:p>
        </w:tc>
      </w:tr>
      <w:tr>
        <w:trPr>
          <w:trHeight w:val="310" w:hRule="atLeast"/>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Ханты-Мансийский</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476,1</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112,2</w:t>
            </w:r>
          </w:p>
        </w:tc>
      </w:tr>
      <w:tr>
        <w:trPr>
          <w:trHeight w:val="270" w:hRule="atLeast"/>
        </w:trPr>
        <w:tc>
          <w:tcPr>
            <w:tcW w:w="32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Итого:</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5901,1</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1008,2</w:t>
            </w:r>
          </w:p>
        </w:tc>
      </w:tr>
    </w:tbl>
    <w:p>
      <w:pPr>
        <w:pStyle w:val="Normal"/>
        <w:spacing w:lineRule="auto" w:line="276"/>
        <w:ind w:firstLine="567"/>
        <w:jc w:val="both"/>
        <w:rPr>
          <w:sz w:val="28"/>
          <w:szCs w:val="28"/>
        </w:rPr>
      </w:pPr>
      <w:r>
        <w:rPr>
          <w:sz w:val="28"/>
          <w:szCs w:val="28"/>
        </w:rPr>
      </w:r>
    </w:p>
    <w:p>
      <w:pPr>
        <w:pStyle w:val="Normal"/>
        <w:spacing w:lineRule="auto" w:line="276"/>
        <w:ind w:firstLine="567"/>
        <w:jc w:val="both"/>
        <w:rPr>
          <w:sz w:val="28"/>
          <w:szCs w:val="28"/>
        </w:rPr>
      </w:pPr>
      <w:r>
        <w:rPr>
          <w:sz w:val="28"/>
          <w:szCs w:val="28"/>
        </w:rPr>
      </w:r>
    </w:p>
    <w:p>
      <w:pPr>
        <w:pStyle w:val="Normal"/>
        <w:ind w:firstLine="540"/>
        <w:jc w:val="center"/>
        <w:rPr>
          <w:b/>
          <w:b/>
          <w:i/>
          <w:i/>
          <w:sz w:val="28"/>
          <w:szCs w:val="28"/>
        </w:rPr>
      </w:pPr>
      <w:r>
        <w:rPr>
          <w:b/>
          <w:i/>
          <w:sz w:val="28"/>
          <w:szCs w:val="28"/>
        </w:rPr>
        <w:t>Биология и тенденции к росту или сокращению численности охотничьих ресурсов.</w:t>
      </w:r>
    </w:p>
    <w:p>
      <w:pPr>
        <w:pStyle w:val="Normal"/>
        <w:ind w:firstLine="540"/>
        <w:jc w:val="center"/>
        <w:rPr>
          <w:sz w:val="28"/>
          <w:szCs w:val="28"/>
        </w:rPr>
      </w:pPr>
      <w:r>
        <w:rPr>
          <w:sz w:val="28"/>
          <w:szCs w:val="28"/>
        </w:rPr>
      </w:r>
    </w:p>
    <w:p>
      <w:pPr>
        <w:pStyle w:val="Normal"/>
        <w:ind w:firstLine="540"/>
        <w:jc w:val="both"/>
        <w:rPr>
          <w:sz w:val="28"/>
          <w:szCs w:val="28"/>
        </w:rPr>
      </w:pPr>
      <w:r>
        <w:rPr>
          <w:b/>
          <w:bCs/>
          <w:sz w:val="28"/>
          <w:szCs w:val="28"/>
        </w:rPr>
        <w:t xml:space="preserve">Лось – </w:t>
      </w:r>
      <w:r>
        <w:rPr>
          <w:b/>
          <w:bCs/>
          <w:i/>
          <w:sz w:val="28"/>
          <w:szCs w:val="28"/>
          <w:lang w:val="en-US"/>
        </w:rPr>
        <w:t>Alces</w:t>
      </w:r>
      <w:r>
        <w:rPr>
          <w:b/>
          <w:bCs/>
          <w:i/>
          <w:sz w:val="28"/>
          <w:szCs w:val="28"/>
        </w:rPr>
        <w:t xml:space="preserve"> </w:t>
      </w:r>
      <w:r>
        <w:rPr>
          <w:b/>
          <w:bCs/>
          <w:i/>
          <w:sz w:val="28"/>
          <w:szCs w:val="28"/>
          <w:lang w:val="en-US"/>
        </w:rPr>
        <w:t>alces</w:t>
      </w:r>
      <w:r>
        <w:rPr>
          <w:b/>
          <w:bCs/>
          <w:i/>
          <w:sz w:val="28"/>
          <w:szCs w:val="28"/>
        </w:rPr>
        <w:t xml:space="preserve"> </w:t>
      </w:r>
      <w:r>
        <w:rPr>
          <w:b/>
          <w:bCs/>
          <w:i/>
          <w:sz w:val="28"/>
          <w:szCs w:val="28"/>
          <w:lang w:val="en-US"/>
        </w:rPr>
        <w:t>L</w:t>
      </w:r>
      <w:r>
        <w:rPr>
          <w:b/>
          <w:bCs/>
          <w:sz w:val="28"/>
          <w:szCs w:val="28"/>
        </w:rPr>
        <w:t xml:space="preserve">. </w:t>
      </w:r>
      <w:r>
        <w:rPr>
          <w:sz w:val="28"/>
          <w:szCs w:val="28"/>
        </w:rPr>
        <w:t>Лось – широко распространённый вид таёжной зоны Западной Сибири. По лесным массивам вдоль русел рек звери проникают до южных границ тундры. Распределение лосей по территории обусловлено в основном наличием и доступностью летних и зимних кормов. Зимой лоси концентрируются на участках с большими запасами веточного корма – по ивняковым поймам лесных рек, возле зарастающих гарей, вырубок. На лето, спасаясь от гнуса, лоси откочёвывают в открытые, обдуваемые ветром места, в угодья, богатые сочными кормами: гари, вырубки, болота и в пойменные комплексы крупных рек. Питается болотными растениями, листьями, побегами, корой деревьев и кустарников. Образ жизни – одиночный или небольшими группами. При смене сезонных местообитаний животные нередко мигрируют на большие расстояния, при этом часть из них гибнет [Войлочников, 1973; Филонов, 1983; Глушков, 1985; Новиков, Котов, 1990]. В связи с промышленной трансформацией территории и сильным воздействием фактора беспокойства численность лося в последние годы снизилась и в среднем составляет около 20 тыс. особей (рис. 1).</w:t>
      </w:r>
    </w:p>
    <w:p>
      <w:pPr>
        <w:pStyle w:val="Normal"/>
        <w:ind w:firstLine="540"/>
        <w:jc w:val="both"/>
        <w:rPr>
          <w:sz w:val="28"/>
          <w:szCs w:val="28"/>
        </w:rPr>
      </w:pPr>
      <w:r>
        <w:rPr>
          <w:sz w:val="28"/>
          <w:szCs w:val="28"/>
        </w:rPr>
        <w:t>Лось является важным промысловым видом. Этот зверь исконно был одним из основных объектов охоты у хантов и в значительной степени определял благополучие аборигенного населения. В прошлом ханты охотились на лося и северного оленя, как правило, коллективно, добычу делили по числу участников. Иногда на миграционных путях в местах сужения лесных массивов среди болот охотники ставили изгороди и сооружали самострелы.</w:t>
      </w:r>
    </w:p>
    <w:p>
      <w:pPr>
        <w:pStyle w:val="20101"/>
        <w:ind w:hanging="0"/>
        <w:rPr>
          <w:sz w:val="28"/>
          <w:szCs w:val="28"/>
        </w:rPr>
      </w:pPr>
      <w:r>
        <w:rPr/>
        <w:drawing>
          <wp:inline distT="0" distB="0" distL="0" distR="0">
            <wp:extent cx="5944235" cy="177101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Style32"/>
        <w:jc w:val="both"/>
        <w:rPr>
          <w:color w:val="CE181E"/>
        </w:rPr>
      </w:pPr>
      <w:bookmarkStart w:id="0" w:name="_Toc312244134"/>
      <w:r>
        <w:rPr>
          <w:color w:val="CE181E"/>
        </w:rPr>
        <w:t>Рис. 1. Динамика численности лося за 2007 – 2019 гг., шт.</w:t>
      </w:r>
      <w:bookmarkEnd w:id="0"/>
    </w:p>
    <w:p>
      <w:pPr>
        <w:pStyle w:val="Normal"/>
        <w:ind w:firstLine="708"/>
        <w:jc w:val="both"/>
        <w:rPr>
          <w:sz w:val="28"/>
          <w:szCs w:val="28"/>
        </w:rPr>
      </w:pPr>
      <w:r>
        <w:rPr>
          <w:sz w:val="28"/>
          <w:szCs w:val="28"/>
        </w:rPr>
        <w:t>В настоящее время в связи с интенсивным освоением ископаемых ресурсов в регионе резко возрос приток людей, в результате пресс охоты на лося значительно увеличился. Зачастую зверей не санкционированно отстреливают как при случайных встречах, так и целенаправленно преследуют их с использованием авиации, вездеходной техники и автотранспорта, иногда добывают с помощью петель, установленных на путях миграций животных.</w:t>
      </w:r>
    </w:p>
    <w:p>
      <w:pPr>
        <w:pStyle w:val="Normal"/>
        <w:ind w:firstLine="708"/>
        <w:jc w:val="both"/>
        <w:rPr/>
      </w:pPr>
      <w:r>
        <w:rPr>
          <w:b/>
          <w:bCs/>
          <w:sz w:val="28"/>
          <w:szCs w:val="28"/>
        </w:rPr>
        <w:t xml:space="preserve">Бурый медведь – </w:t>
      </w:r>
      <w:r>
        <w:rPr>
          <w:b/>
          <w:bCs/>
          <w:i/>
          <w:sz w:val="28"/>
          <w:szCs w:val="28"/>
          <w:lang w:val="en-US"/>
        </w:rPr>
        <w:t>Ursus</w:t>
      </w:r>
      <w:r>
        <w:rPr>
          <w:b/>
          <w:bCs/>
          <w:i/>
          <w:sz w:val="28"/>
          <w:szCs w:val="28"/>
        </w:rPr>
        <w:t xml:space="preserve"> </w:t>
      </w:r>
      <w:r>
        <w:rPr>
          <w:b/>
          <w:bCs/>
          <w:i/>
          <w:sz w:val="28"/>
          <w:szCs w:val="28"/>
          <w:lang w:val="en-US"/>
        </w:rPr>
        <w:t>arctos</w:t>
      </w:r>
      <w:r>
        <w:rPr>
          <w:b/>
          <w:bCs/>
          <w:i/>
          <w:sz w:val="28"/>
          <w:szCs w:val="28"/>
        </w:rPr>
        <w:t xml:space="preserve"> </w:t>
      </w:r>
      <w:r>
        <w:rPr>
          <w:b/>
          <w:bCs/>
          <w:i/>
          <w:sz w:val="28"/>
          <w:szCs w:val="28"/>
          <w:lang w:val="en-US"/>
        </w:rPr>
        <w:t>L</w:t>
      </w:r>
      <w:r>
        <w:rPr>
          <w:b/>
          <w:bCs/>
          <w:sz w:val="28"/>
          <w:szCs w:val="28"/>
        </w:rPr>
        <w:t xml:space="preserve">. </w:t>
      </w:r>
      <w:r>
        <w:rPr>
          <w:sz w:val="28"/>
          <w:szCs w:val="28"/>
        </w:rPr>
        <w:t xml:space="preserve">Обычный немногочисленный вид. Один из наиболее крупных млекопитающих региона. По территории Ханты-Мансийского автономного округа распространён повсеместно. Наиболее пригодными угодьями для обитания медведя являются темнохвойные леса с присутствием кедра и ягодников, а также наличием мест для устройства берлог. Главное требование животных к местам обитания в период активной жизни – обилие пищи. Особенно важно наличие её весной – со времени выхода из берлоги до появления первой зелени, а также в период нажировки перед залеганием в берлогу. Встречается медведь и на болотах, используя их в качестве кормовых стаций. Ведёт в основном одиночный образ жизни. Врагов у медведя, кроме человека, практически нет. Среди естественных растительных кормов главное место занимают ягоды, кедровые орехи, листья, стебли, корневища и клубни травянистых растений. Из животных кормов значительная роль принадлежит насекомым и их личинкам. Медведь может ловить мелких млекопитающих и птиц. При недостатке кормов хищники нападают на лосей и северных оленей, подбирают падаль. Разобщенность участков, удобных для устройства берлог, и мест, наиболее пригодных для летнего обитания, служит основной причиной сезонных перемещений медведей по территории. Это обстоятельство отрицательно влияет как на выживаемость молодняка, так и на численность взрослых зверей. Весной, после выхода из берлог, медведи из лесных массивов перемещаются к открытым местам, где быстрее разрушается снеговой покров. Здесь звери более уязвимы и нередко попадают под выстрел охотников. Численность медведя в округе в настоящее время оценивается в </w:t>
      </w:r>
      <w:r>
        <w:rPr>
          <w:b/>
          <w:bCs/>
          <w:sz w:val="28"/>
          <w:szCs w:val="28"/>
        </w:rPr>
        <w:t>6296</w:t>
      </w:r>
      <w:r>
        <w:rPr>
          <w:sz w:val="28"/>
          <w:szCs w:val="28"/>
        </w:rPr>
        <w:t xml:space="preserve"> голов (рис.2). Важным фактором воздействия на численность зверей является антропогенное преобразование среды обитания, приводящее к сокращению пригодных для жизни территорий. Основные факторы, сдерживающие рост численности медведя – низкие темпы воспроизводства и высокая смертность молодняка.</w:t>
      </w:r>
    </w:p>
    <w:p>
      <w:pPr>
        <w:pStyle w:val="20101"/>
        <w:ind w:hanging="0"/>
        <w:rPr/>
      </w:pPr>
      <w:r>
        <w:rPr/>
        <w:drawing>
          <wp:inline distT="0" distB="0" distL="0" distR="0">
            <wp:extent cx="5942330" cy="192405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Style32"/>
        <w:jc w:val="both"/>
        <w:rPr/>
      </w:pPr>
      <w:bookmarkStart w:id="1" w:name="_Toc312244133"/>
      <w:r>
        <w:rPr>
          <w:rFonts w:eastAsia="Times New Roman" w:cs="Times New Roman"/>
          <w:b/>
          <w:bCs/>
          <w:color w:val="CE181E"/>
          <w:kern w:val="0"/>
          <w:sz w:val="28"/>
          <w:szCs w:val="28"/>
          <w:lang w:val="ru-RU" w:eastAsia="ru-RU" w:bidi="ar-SA"/>
        </w:rPr>
        <w:t>Р</w:t>
      </w:r>
      <w:r>
        <w:rPr>
          <w:color w:val="CE181E"/>
        </w:rPr>
        <w:t>ис. 2 Динамика численности бурого медведя за 2007 – 2019 гг., шт.</w:t>
      </w:r>
      <w:bookmarkEnd w:id="1"/>
    </w:p>
    <w:p>
      <w:pPr>
        <w:pStyle w:val="Normal"/>
        <w:ind w:firstLine="708"/>
        <w:jc w:val="both"/>
        <w:rPr>
          <w:sz w:val="28"/>
          <w:szCs w:val="28"/>
        </w:rPr>
      </w:pPr>
      <w:r>
        <w:rPr>
          <w:sz w:val="28"/>
          <w:szCs w:val="28"/>
        </w:rPr>
        <w:t>Медведь, самый крупный хищник тайги, имеет важное хозяйственное значение. У хантов этот зверь считается священным животным. В прошлом добыча его обычно была результатом коллективной охоты и сопровождалась ритуальным праздником. В настоящее время основные мотивы охоты на этого зверя – получение трофейной шкуры и ценной мясной продукции. С целью исключения заражения людей трихинеллёзом мясо должно обязательно проходить ветеринарную экспертизу. Лекарственное значение имеют жир и желчь медведя. Высоко ценятся медвежьи шкуры, которые в заготовки, как правило, не поступают.</w:t>
      </w:r>
    </w:p>
    <w:p>
      <w:pPr>
        <w:pStyle w:val="Normal"/>
        <w:ind w:firstLine="708"/>
        <w:jc w:val="both"/>
        <w:rPr>
          <w:sz w:val="28"/>
          <w:szCs w:val="28"/>
        </w:rPr>
      </w:pPr>
      <w:r>
        <w:rPr>
          <w:sz w:val="28"/>
          <w:szCs w:val="28"/>
        </w:rPr>
        <w:t>Современное воздействие человека на популяцию медведя в районах промышленного освоения угодий существенно. Беспокойство, преследование и прямое истребление местами приводят к заметному снижению численности этого крупного зверя. В целом же добыча медведя чаще носит случайный характер.</w:t>
      </w:r>
    </w:p>
    <w:p>
      <w:pPr>
        <w:pStyle w:val="Normal"/>
        <w:ind w:firstLine="708"/>
        <w:jc w:val="both"/>
        <w:rPr/>
      </w:pPr>
      <w:r>
        <w:rPr>
          <w:b/>
          <w:bCs/>
          <w:sz w:val="28"/>
          <w:szCs w:val="28"/>
        </w:rPr>
        <w:t xml:space="preserve">Выдра – </w:t>
      </w:r>
      <w:r>
        <w:rPr>
          <w:b/>
          <w:bCs/>
          <w:i/>
          <w:sz w:val="28"/>
          <w:szCs w:val="28"/>
          <w:lang w:val="en-US"/>
        </w:rPr>
        <w:t>Lutra</w:t>
      </w:r>
      <w:r>
        <w:rPr>
          <w:b/>
          <w:bCs/>
          <w:i/>
          <w:sz w:val="28"/>
          <w:szCs w:val="28"/>
        </w:rPr>
        <w:t xml:space="preserve"> </w:t>
      </w:r>
      <w:r>
        <w:rPr>
          <w:b/>
          <w:bCs/>
          <w:i/>
          <w:sz w:val="28"/>
          <w:szCs w:val="28"/>
          <w:lang w:val="en-US"/>
        </w:rPr>
        <w:t>lutra</w:t>
      </w:r>
      <w:r>
        <w:rPr>
          <w:b/>
          <w:bCs/>
          <w:i/>
          <w:sz w:val="28"/>
          <w:szCs w:val="28"/>
        </w:rPr>
        <w:t xml:space="preserve"> </w:t>
      </w:r>
      <w:r>
        <w:rPr>
          <w:b/>
          <w:bCs/>
          <w:i/>
          <w:sz w:val="28"/>
          <w:szCs w:val="28"/>
          <w:lang w:val="en-US"/>
        </w:rPr>
        <w:t>L</w:t>
      </w:r>
      <w:r>
        <w:rPr>
          <w:b/>
          <w:bCs/>
          <w:sz w:val="28"/>
          <w:szCs w:val="28"/>
        </w:rPr>
        <w:t xml:space="preserve">. </w:t>
      </w:r>
      <w:r>
        <w:rPr>
          <w:sz w:val="28"/>
          <w:szCs w:val="28"/>
        </w:rPr>
        <w:t>Немногочисленный, широко распространённый, ценный пушной вид. Встречается во всех районах округа на большинстве притоков Оби и Иртыша первого и второго порядков. Для выдры очень важен характер берегов, где она делает выводковые норы и находит защиту от врагов. Предпочитает лесные реки с обрывистыми, сильно захламлёнными берегами и извилистым руслом, изобилующим завалами подмытых водой деревьев. Для существования зимой выдре необходимы полыньи, промоины, продухи, пустоты подо льдом, образующиеся при зимнем спаде воды. Это даёт ей возможность беспрепятственно проникать в воду и добывать там пищу. Наледи и сплошное промерзание водоёмов делает их непригодными для обитания зверей. Реже встречается по берегам крупных проточных озёр и межозёрным протокам. На больших реках звери чаще появляются во время расселения по территории. Загрязнение рек нефтепродуктами приводит к исчезновению рыбы – хищник лишается кормовой базы и покидает их. В питании выдры преобладают позвоночные животные, прежде всего рыба. Наличие «живунов» на таёжных реках в зимнее время, которое обуславливает концентрацию рыбы, обеспечивает обилие и доступность корма для хищника. Лягушки, птицы, мелкие млекопитающие и беспозвоночные занимают важное место, но потребление их имеет сезонный характер. На численности выдры отрицательно сказывается хозяйственная деятельность человека: вырубка прибрежных лесов, зарегулирование речного стока, загрязнение воды, приводящее к сокращению рыбных запасов в водоёмах, браконьерство. Динамика численности выдры за последние 12 лет (рис. 3)</w:t>
      </w:r>
    </w:p>
    <w:p>
      <w:pPr>
        <w:pStyle w:val="20101"/>
        <w:ind w:hanging="0"/>
        <w:rPr>
          <w:sz w:val="28"/>
          <w:szCs w:val="28"/>
          <w:highlight w:val="yellow"/>
        </w:rPr>
      </w:pPr>
      <w:r>
        <w:rPr/>
        <w:drawing>
          <wp:inline distT="0" distB="0" distL="0" distR="0">
            <wp:extent cx="5652135" cy="199898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Style32"/>
        <w:jc w:val="center"/>
        <w:rPr>
          <w:highlight w:val="yellow"/>
        </w:rPr>
      </w:pPr>
      <w:bookmarkStart w:id="2" w:name="_Toc312244129"/>
      <w:r>
        <w:rPr/>
        <w:t>Рис. 3. Динамика численности выдры за 2007 – 2019 гг., шт.</w:t>
      </w:r>
      <w:bookmarkEnd w:id="2"/>
    </w:p>
    <w:p>
      <w:pPr>
        <w:pStyle w:val="Normal"/>
        <w:ind w:firstLine="567"/>
        <w:jc w:val="both"/>
        <w:rPr>
          <w:sz w:val="28"/>
          <w:szCs w:val="28"/>
        </w:rPr>
      </w:pPr>
      <w:r>
        <w:rPr>
          <w:sz w:val="28"/>
          <w:szCs w:val="28"/>
        </w:rPr>
        <w:t>Мех выдры высоко ценится, и роль её как пушного вида в регионе была существенна. В настоящее время в заготовки шкурки практически не поступают. Коренные жители используют мех выдры при изготовлении национальной одежды.</w:t>
      </w:r>
    </w:p>
    <w:p>
      <w:pPr>
        <w:pStyle w:val="Normal"/>
        <w:spacing w:lineRule="auto" w:line="276"/>
        <w:ind w:firstLine="567"/>
        <w:jc w:val="both"/>
        <w:rPr>
          <w:sz w:val="28"/>
          <w:szCs w:val="28"/>
        </w:rPr>
      </w:pPr>
      <w:r>
        <w:rPr>
          <w:sz w:val="28"/>
          <w:szCs w:val="28"/>
        </w:rPr>
      </w:r>
    </w:p>
    <w:p>
      <w:pPr>
        <w:pStyle w:val="Normal"/>
        <w:spacing w:lineRule="auto" w:line="276"/>
        <w:ind w:firstLine="567"/>
        <w:jc w:val="both"/>
        <w:rPr>
          <w:sz w:val="28"/>
          <w:szCs w:val="28"/>
        </w:rPr>
      </w:pPr>
      <w:r>
        <w:rPr>
          <w:b/>
          <w:bCs/>
          <w:sz w:val="28"/>
          <w:szCs w:val="28"/>
        </w:rPr>
        <w:t xml:space="preserve">Барсук – </w:t>
      </w:r>
      <w:r>
        <w:rPr>
          <w:b/>
          <w:bCs/>
          <w:i/>
          <w:sz w:val="28"/>
          <w:szCs w:val="28"/>
          <w:lang w:val="en-US"/>
        </w:rPr>
        <w:t>Meles</w:t>
      </w:r>
      <w:r>
        <w:rPr>
          <w:b/>
          <w:bCs/>
          <w:i/>
          <w:sz w:val="28"/>
          <w:szCs w:val="28"/>
        </w:rPr>
        <w:t xml:space="preserve"> </w:t>
      </w:r>
      <w:r>
        <w:rPr>
          <w:b/>
          <w:bCs/>
          <w:i/>
          <w:sz w:val="28"/>
          <w:szCs w:val="28"/>
          <w:lang w:val="en-US"/>
        </w:rPr>
        <w:t>Leucurus</w:t>
      </w:r>
      <w:r>
        <w:rPr>
          <w:b/>
          <w:bCs/>
          <w:i/>
          <w:sz w:val="28"/>
          <w:szCs w:val="28"/>
        </w:rPr>
        <w:t xml:space="preserve"> </w:t>
      </w:r>
      <w:r>
        <w:rPr>
          <w:b/>
          <w:bCs/>
          <w:i/>
          <w:sz w:val="28"/>
          <w:szCs w:val="28"/>
          <w:lang w:val="en-US"/>
        </w:rPr>
        <w:t>L</w:t>
      </w:r>
      <w:r>
        <w:rPr>
          <w:b/>
          <w:bCs/>
          <w:sz w:val="28"/>
          <w:szCs w:val="28"/>
        </w:rPr>
        <w:t xml:space="preserve">. </w:t>
      </w:r>
      <w:r>
        <w:rPr>
          <w:sz w:val="28"/>
          <w:szCs w:val="28"/>
        </w:rPr>
        <w:t xml:space="preserve">Редкий вид. Северная граница ареала вида в Западной Сибири примерно проходит по линии п. Берёзово – верховья рр. Пура и Таза. Распространение барсука на север определяется уровнем залегания вечной мерзлоты. В условиях Ханты-Мансийского автономного округа барсук проявляет по отношению к местам обитания значительную пластичность. В основном это лесной зверь, придерживающийся опушек, островов леса, перелесков и лесистых логов. Крупных лесных массивов барсук избегает. В пойменных угодьях крупных рек барсуки селятся по незатопляемым облесённым или закустаренным гривам. И. П. Лаптев оценивал плотность населения барсука в пойменно-прирусловых участках как среднюю, а в таёжных массивах – как низкую. Активен барсук преимущественно в сумеречное время. Отличается всеядностью: пищу барсука составляют мышевидные грызуны, земноводные, пресмыкающиеся, насекомые и их личинки, моллюски, земляные черви, изредка ловит мелких птиц. Зверь потребляет орехи, ягоды и другие растительные корма. Барсук – животное зимоспящее, типичный норник, поэтому главным лимитирующим фактором в его распространении и численности является наличие удобных для норения мест, и, в частности, подходящий субстрат — «лёгкие» почвы. Второе условие, определяющее местоположение нор – это близость водопоев. Имеет значение суровость и продолжительность зимы. Старые поселения – «городки» – возникают в результате деятельности многих поколений, иногда занимают площадь более гектара и имеют десятки выходов. В заброшенных норах часто поселяются лисицы и другие звери. Численность зверей зависит от обилия пищи, возможности устройства нор и близости к ним водоёмов. Во многих местах численность барсука сокращается в результате прямого истребления, часто сопровождающегося раскопкой нор. Нарушение поселения, как правило, приводит к его уничтожению. </w:t>
      </w:r>
    </w:p>
    <w:p>
      <w:pPr>
        <w:pStyle w:val="Normal"/>
        <w:ind w:firstLine="567"/>
        <w:jc w:val="both"/>
        <w:rPr/>
      </w:pPr>
      <w:r>
        <w:rPr>
          <w:sz w:val="28"/>
          <w:szCs w:val="28"/>
        </w:rPr>
        <w:t>Динамика численности данного вида представлена на графике                  (рис. 4).</w:t>
      </w:r>
    </w:p>
    <w:p>
      <w:pPr>
        <w:pStyle w:val="20101"/>
        <w:ind w:firstLine="142"/>
        <w:rPr/>
      </w:pPr>
      <w:r>
        <w:rPr/>
        <w:drawing>
          <wp:inline distT="0" distB="0" distL="0" distR="0">
            <wp:extent cx="5555615" cy="239268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Style32"/>
        <w:rPr>
          <w:color w:val="CE181E"/>
        </w:rPr>
      </w:pPr>
      <w:bookmarkStart w:id="3" w:name="_Toc312244124"/>
      <w:r>
        <w:rPr>
          <w:color w:val="CE181E"/>
        </w:rPr>
        <w:t>Рис. 4 Динамика численности барсука за 2007 – 2019 гг., шт.</w:t>
      </w:r>
      <w:bookmarkEnd w:id="3"/>
    </w:p>
    <w:p>
      <w:pPr>
        <w:pStyle w:val="Normal"/>
        <w:ind w:firstLine="708"/>
        <w:rPr>
          <w:sz w:val="28"/>
          <w:szCs w:val="28"/>
        </w:rPr>
      </w:pPr>
      <w:r>
        <w:rPr>
          <w:sz w:val="28"/>
          <w:szCs w:val="28"/>
        </w:rPr>
        <w:t>Барсук – промысловый вид, но значение его в охотничьем хозяйстве из-за общей низкой численности и мозаичного распространения невелико. Наиболее ценен у барсука целебный жир, используются также мясо и шкура.</w:t>
      </w:r>
    </w:p>
    <w:p>
      <w:pPr>
        <w:pStyle w:val="Normal"/>
        <w:rPr>
          <w:sz w:val="28"/>
          <w:szCs w:val="28"/>
        </w:rPr>
      </w:pPr>
      <w:r>
        <w:rPr>
          <w:sz w:val="28"/>
          <w:szCs w:val="28"/>
        </w:rPr>
      </w:r>
    </w:p>
    <w:p>
      <w:pPr>
        <w:pStyle w:val="Normal"/>
        <w:ind w:firstLine="708"/>
        <w:jc w:val="both"/>
        <w:rPr/>
      </w:pPr>
      <w:r>
        <w:rPr>
          <w:b/>
          <w:bCs/>
          <w:sz w:val="28"/>
          <w:szCs w:val="28"/>
        </w:rPr>
        <w:t xml:space="preserve">Соболь – </w:t>
      </w:r>
      <w:r>
        <w:rPr>
          <w:b/>
          <w:bCs/>
          <w:i/>
          <w:sz w:val="28"/>
          <w:szCs w:val="28"/>
          <w:lang w:val="en-US"/>
        </w:rPr>
        <w:t>Martes</w:t>
      </w:r>
      <w:r>
        <w:rPr>
          <w:b/>
          <w:bCs/>
          <w:i/>
          <w:sz w:val="28"/>
          <w:szCs w:val="28"/>
        </w:rPr>
        <w:t xml:space="preserve"> </w:t>
      </w:r>
      <w:r>
        <w:rPr>
          <w:b/>
          <w:bCs/>
          <w:i/>
          <w:sz w:val="28"/>
          <w:szCs w:val="28"/>
          <w:lang w:val="en-US"/>
        </w:rPr>
        <w:t>zibellina</w:t>
      </w:r>
      <w:r>
        <w:rPr>
          <w:b/>
          <w:bCs/>
          <w:i/>
          <w:sz w:val="28"/>
          <w:szCs w:val="28"/>
        </w:rPr>
        <w:t xml:space="preserve"> </w:t>
      </w:r>
      <w:r>
        <w:rPr>
          <w:b/>
          <w:bCs/>
          <w:i/>
          <w:sz w:val="28"/>
          <w:szCs w:val="28"/>
          <w:lang w:val="en-US"/>
        </w:rPr>
        <w:t>L</w:t>
      </w:r>
      <w:r>
        <w:rPr>
          <w:b/>
          <w:bCs/>
          <w:sz w:val="28"/>
          <w:szCs w:val="28"/>
        </w:rPr>
        <w:t xml:space="preserve">. </w:t>
      </w:r>
      <w:r>
        <w:rPr>
          <w:sz w:val="28"/>
          <w:szCs w:val="28"/>
        </w:rPr>
        <w:t xml:space="preserve">Широко распространённый вид. Соболь, обитающий на территории Западной Сибири (от Урала до водораздела Оби с Енисеем), относится к тобольскому подвиду.                            В результате перепромысла в начале </w:t>
      </w:r>
      <w:r>
        <w:rPr>
          <w:sz w:val="28"/>
          <w:szCs w:val="28"/>
          <w:lang w:val="en-US"/>
        </w:rPr>
        <w:t>XX</w:t>
      </w:r>
      <w:r>
        <w:rPr>
          <w:sz w:val="28"/>
          <w:szCs w:val="28"/>
        </w:rPr>
        <w:t xml:space="preserve"> столетия вид в регионе, как и в целом по ареалу, сохранялся лишь небольшими изолированными очагами в труднодоступных угодьях. Одними из таких очагов были верховья </w:t>
      </w:r>
      <w:r>
        <w:rPr>
          <w:sz w:val="28"/>
          <w:szCs w:val="28"/>
          <w:lang w:val="en-US"/>
        </w:rPr>
        <w:t>pp</w:t>
      </w:r>
      <w:r>
        <w:rPr>
          <w:sz w:val="28"/>
          <w:szCs w:val="28"/>
        </w:rPr>
        <w:t>. Салым, Юган и Демьянка. В восстановлении ареала соболя в Западной Сибири основную роль сыграли местный запрет его добычи в 1926-1931 гг. и общесоюзный запрет 1936-1940 гг. Способствовали этому и организация в 1927 г. Кондо-Сосьвинского заповедника и создание Лядвинского соболиного заказника, строгое лимитирование промысла, практиковавшееся с 1941 г., а также сокращение сроков охоты и запрещение некоторых истребительных способов его добычи.                                        На возрождение запасов соболя были затрачены огромные государственные средства, выполнены большие работы по расселению аборигенных соболей и завозу зверей из других регионов. В Западной Сибири соболь был восстановлен на базе очень незначительного количества уцелевших местных очагов и выпуска более полутысячи зверей, которых завозили из Бурятии и Иркутской области в 1952-1959 гг. Их выпускали в Ханты-Мансийском национальном округе. Соболь здесь широко расселился, и уже во второй половине 1960-х гг. произошло восстановление его ареала. Современный ареал соболя в регионе в значительной степени совпадает с границей распространения лесов. Лучшими для соболя являются кедровые и елово-кедровые насаждения. По приречным темнохвойным лесам с наличием в составе древостоев кедра соболь проникает далеко на север. Хорошими угодьями считается и смешанная тайга при значительном участии кедра. Реже встречается соболь в островных светлохвойных лесах среди водораздельных болот и в лиственных лесах пойменного комплекса Оби; чаще звери появляются здесь во время расселения молодняка или при недостатке кормов в тайге. Заселяет соболь и гари. Ценность гарей как местообитаний соболя различна и зависит от давности пожаров, размеров выгоревших участков и характера возобновления. Гари 10-15-летней давности с хаотическим нагромождением упавших деревьев и густым подростом из лиственных и хвойных пород соболь заселяет особенно хорошо. Ведёт наземный образ жизни, редко забирается на деревья. Легко передвигается по глубокому и рыхлому снегу благодаря хорошему опушению лап. Питается разнообразной животной (в первую очередь, мышевидными) и растительной (различные ягоды, кедровые орехи) пищей. В качестве убежища и для устройства выводкового гнезда обычно использует прикорневые пустоты, дупла, каменистые россыпи. Активен в сумеречное и ночное время, реже – днём. Численность достигла максимально известного для этих мест уровня к началу 1980-х гг. Численность вида в округе за последние двенадцать лет представлена (рис. 5).</w:t>
      </w:r>
    </w:p>
    <w:p>
      <w:pPr>
        <w:pStyle w:val="20101"/>
        <w:ind w:hanging="0"/>
        <w:rPr>
          <w:sz w:val="28"/>
          <w:szCs w:val="28"/>
        </w:rPr>
      </w:pPr>
      <w:r>
        <w:rPr/>
        <w:drawing>
          <wp:inline distT="0" distB="0" distL="0" distR="0">
            <wp:extent cx="5654675" cy="177101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Style32"/>
        <w:jc w:val="center"/>
        <w:rPr/>
      </w:pPr>
      <w:bookmarkStart w:id="4" w:name="_Toc312244130"/>
      <w:r>
        <w:rPr>
          <w:rFonts w:eastAsia="Times New Roman" w:cs="Times New Roman"/>
          <w:b/>
          <w:bCs/>
          <w:color w:val="CE181E"/>
          <w:kern w:val="0"/>
          <w:sz w:val="28"/>
          <w:szCs w:val="28"/>
          <w:lang w:val="ru-RU" w:eastAsia="ru-RU" w:bidi="ar-SA"/>
        </w:rPr>
        <w:t>Р</w:t>
      </w:r>
      <w:r>
        <w:rPr>
          <w:color w:val="CE181E"/>
        </w:rPr>
        <w:t>ис. 5. Динамика численности соболя за 2007 – 2019 гг., шт.</w:t>
      </w:r>
      <w:bookmarkEnd w:id="4"/>
    </w:p>
    <w:p>
      <w:pPr>
        <w:pStyle w:val="Normal"/>
        <w:ind w:firstLine="708"/>
        <w:jc w:val="both"/>
        <w:rPr>
          <w:sz w:val="28"/>
          <w:szCs w:val="28"/>
        </w:rPr>
      </w:pPr>
      <w:r>
        <w:rPr>
          <w:sz w:val="28"/>
          <w:szCs w:val="28"/>
        </w:rPr>
        <w:t xml:space="preserve">Соболь – ценнейший объект пушного промысла в регионе. Соболиный промысел имеет важное экономическое значение в жизни хантов и русских охотников-промысловиков. </w:t>
      </w:r>
    </w:p>
    <w:p>
      <w:pPr>
        <w:pStyle w:val="Normal"/>
        <w:jc w:val="both"/>
        <w:rPr>
          <w:sz w:val="28"/>
          <w:szCs w:val="28"/>
        </w:rPr>
      </w:pPr>
      <w:r>
        <w:rPr>
          <w:sz w:val="28"/>
          <w:szCs w:val="28"/>
        </w:rPr>
      </w:r>
    </w:p>
    <w:p>
      <w:pPr>
        <w:pStyle w:val="Normal"/>
        <w:ind w:firstLine="708"/>
        <w:jc w:val="both"/>
        <w:rPr/>
      </w:pPr>
      <w:r>
        <w:rPr>
          <w:b/>
          <w:bCs/>
          <w:sz w:val="28"/>
          <w:szCs w:val="28"/>
        </w:rPr>
        <w:t xml:space="preserve">Рысь – </w:t>
      </w:r>
      <w:r>
        <w:rPr>
          <w:b/>
          <w:bCs/>
          <w:i/>
          <w:sz w:val="28"/>
          <w:szCs w:val="28"/>
          <w:lang w:val="en-US"/>
        </w:rPr>
        <w:t>Felis</w:t>
      </w:r>
      <w:r>
        <w:rPr>
          <w:b/>
          <w:bCs/>
          <w:i/>
          <w:sz w:val="28"/>
          <w:szCs w:val="28"/>
        </w:rPr>
        <w:t xml:space="preserve"> </w:t>
      </w:r>
      <w:r>
        <w:rPr>
          <w:b/>
          <w:bCs/>
          <w:i/>
          <w:sz w:val="28"/>
          <w:szCs w:val="28"/>
          <w:lang w:val="en-US"/>
        </w:rPr>
        <w:t>lynx</w:t>
      </w:r>
      <w:r>
        <w:rPr>
          <w:b/>
          <w:bCs/>
          <w:i/>
          <w:sz w:val="28"/>
          <w:szCs w:val="28"/>
        </w:rPr>
        <w:t xml:space="preserve"> </w:t>
      </w:r>
      <w:r>
        <w:rPr>
          <w:b/>
          <w:bCs/>
          <w:i/>
          <w:sz w:val="28"/>
          <w:szCs w:val="28"/>
          <w:lang w:val="en-US"/>
        </w:rPr>
        <w:t>L</w:t>
      </w:r>
      <w:r>
        <w:rPr>
          <w:b/>
          <w:bCs/>
          <w:sz w:val="28"/>
          <w:szCs w:val="28"/>
        </w:rPr>
        <w:t xml:space="preserve">. </w:t>
      </w:r>
      <w:r>
        <w:rPr>
          <w:sz w:val="28"/>
          <w:szCs w:val="28"/>
        </w:rPr>
        <w:t>Очень редкий вид. Северная граница распространения рыси в Западной Сибири совпадает с границей северной тайги. В Ханты-Мансийском автономном округе этот вид всюду крайне редок. Основные места её обитания – смешанные леса долин таёжных рек. Придерживается участков тайги с густым подлеском, наличием полян и зарастающих гарей, где, как правило, наблюдается наибольшая плотность зайца-беляка, являющегося основным объектом питания хищника в зимнее время. На участке обитания обязательно наличие высокоствольных деревьев, буреломов и «крепких» мест, где рысь может укрыться от преследования и спокойно вывести потомство. Несмотря на то, что рысь имеет небольшую удельную нагрузку на снег за счёт густого опушения крупных лап, она избегает участков тайги с рыхлым снежным покровом. Рысь – животное оседлое. Перемещение зверей по территории в зимний период связано с поиском очагов высокой плотности населения зайцев. Кроме них, рысь ловит глухарей, тетеревов и рябчиков. Определённую роль в рационе хищника имеют мышевидные грызуны, иногда молодые копытные. Взрослые звери ведут одиночный образ жизни. Самки долго водят за собой по 1-2 котёнка. Индивидуальный участок рыси в западносибирской тайге обычно не превышает 15-25 км</w:t>
      </w:r>
      <w:r>
        <w:rPr>
          <w:sz w:val="28"/>
          <w:szCs w:val="28"/>
          <w:vertAlign w:val="superscript"/>
        </w:rPr>
        <w:t>2</w:t>
      </w:r>
      <w:r>
        <w:rPr>
          <w:sz w:val="28"/>
          <w:szCs w:val="28"/>
        </w:rPr>
        <w:t>. Однако при недостатке кормов звери выходят далеко за его пределы и широко бродят в поисках пищи. Численность рыси в значительной мере связана с динамикой численности зайца-беляка. Общая численность зверей в округе последние десять лет не превышала 321 особь (рис. 6).</w:t>
      </w:r>
    </w:p>
    <w:p>
      <w:pPr>
        <w:pStyle w:val="20101"/>
        <w:ind w:hanging="0"/>
        <w:rPr>
          <w:sz w:val="28"/>
          <w:szCs w:val="28"/>
        </w:rPr>
      </w:pPr>
      <w:r>
        <w:rPr/>
        <w:drawing>
          <wp:inline distT="0" distB="0" distL="0" distR="0">
            <wp:extent cx="5654675" cy="177101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Style32"/>
        <w:jc w:val="center"/>
        <w:rPr/>
      </w:pPr>
      <w:bookmarkStart w:id="5" w:name="_Toc312244132"/>
      <w:r>
        <w:rPr>
          <w:rFonts w:eastAsia="Times New Roman" w:cs="Times New Roman"/>
          <w:b/>
          <w:bCs/>
          <w:color w:val="CE181E"/>
          <w:kern w:val="0"/>
          <w:sz w:val="28"/>
          <w:szCs w:val="28"/>
          <w:lang w:val="ru-RU" w:eastAsia="ru-RU" w:bidi="ar-SA"/>
        </w:rPr>
        <w:t>Р</w:t>
      </w:r>
      <w:r>
        <w:rPr>
          <w:color w:val="CE181E"/>
        </w:rPr>
        <w:t>ис. 6. Динамика численности рыси за 2007 – 2019 гг., шт.</w:t>
      </w:r>
      <w:bookmarkEnd w:id="5"/>
    </w:p>
    <w:p>
      <w:pPr>
        <w:pStyle w:val="Normal"/>
        <w:ind w:firstLine="708"/>
        <w:jc w:val="both"/>
        <w:rPr>
          <w:sz w:val="28"/>
          <w:szCs w:val="28"/>
        </w:rPr>
      </w:pPr>
      <w:r>
        <w:rPr>
          <w:sz w:val="28"/>
          <w:szCs w:val="28"/>
        </w:rPr>
        <w:t>Специальной охоты на рысь не ведётся. Добыча зверей в районе чаще носит случайный характер, и в заготовки их шкуры не поступают.</w:t>
      </w:r>
    </w:p>
    <w:p>
      <w:pPr>
        <w:pStyle w:val="Normal"/>
        <w:jc w:val="both"/>
        <w:rPr>
          <w:sz w:val="28"/>
          <w:szCs w:val="28"/>
        </w:rPr>
      </w:pPr>
      <w:r>
        <w:rPr>
          <w:sz w:val="28"/>
          <w:szCs w:val="28"/>
        </w:rPr>
      </w:r>
    </w:p>
    <w:p>
      <w:pPr>
        <w:pStyle w:val="Default"/>
        <w:jc w:val="center"/>
        <w:rPr>
          <w:b/>
          <w:b/>
          <w:bCs/>
          <w:i/>
          <w:i/>
          <w:sz w:val="28"/>
          <w:szCs w:val="28"/>
        </w:rPr>
      </w:pPr>
      <w:r>
        <w:rPr>
          <w:b/>
          <w:bCs/>
          <w:i/>
          <w:sz w:val="28"/>
          <w:szCs w:val="28"/>
        </w:rPr>
      </w:r>
    </w:p>
    <w:p>
      <w:pPr>
        <w:pStyle w:val="Default"/>
        <w:spacing w:lineRule="auto" w:line="276"/>
        <w:jc w:val="center"/>
        <w:rPr>
          <w:i/>
          <w:i/>
          <w:sz w:val="28"/>
          <w:szCs w:val="28"/>
        </w:rPr>
      </w:pPr>
      <w:r>
        <w:rPr>
          <w:b/>
          <w:bCs/>
          <w:i/>
          <w:sz w:val="28"/>
          <w:szCs w:val="28"/>
        </w:rPr>
        <w:t>Оценка продуктивности (биологической и хозяйственной, на основании наземного обследования и маршрутных наблюдений)</w:t>
      </w:r>
    </w:p>
    <w:p>
      <w:pPr>
        <w:pStyle w:val="Default"/>
        <w:spacing w:lineRule="auto" w:line="276"/>
        <w:ind w:firstLine="708"/>
        <w:jc w:val="both"/>
        <w:rPr>
          <w:sz w:val="28"/>
          <w:szCs w:val="28"/>
        </w:rPr>
      </w:pPr>
      <w:r>
        <w:rPr>
          <w:sz w:val="28"/>
          <w:szCs w:val="28"/>
        </w:rPr>
        <w:t xml:space="preserve">Для оценки продуктивности на основании наземного обследования и маршрутных наблюдений организованы полевые изыскания. Полевые группы оценивали продуктивность с использованием стандартных геоботанических методов и методики выявления дикорастущих сырьевых ресурсов при лесоустройстве. Важным источником информации послужили опросы местных жителей, занимающихся сбором дикоросов, представителей национальных общин и работников лесного хозяйства. Дополнительно обрабатывались архивные материалы полевых наблюдений за прошедшие годы. </w:t>
      </w:r>
    </w:p>
    <w:p>
      <w:pPr>
        <w:pStyle w:val="Default"/>
        <w:spacing w:lineRule="auto" w:line="276"/>
        <w:jc w:val="both"/>
        <w:rPr>
          <w:sz w:val="28"/>
          <w:szCs w:val="28"/>
        </w:rPr>
      </w:pPr>
      <w:r>
        <w:rPr>
          <w:sz w:val="28"/>
          <w:szCs w:val="28"/>
        </w:rPr>
      </w:r>
    </w:p>
    <w:p>
      <w:pPr>
        <w:pStyle w:val="Default"/>
        <w:spacing w:lineRule="auto" w:line="276"/>
        <w:jc w:val="center"/>
        <w:rPr>
          <w:b/>
          <w:b/>
          <w:i/>
          <w:i/>
          <w:sz w:val="28"/>
          <w:szCs w:val="28"/>
        </w:rPr>
      </w:pPr>
      <w:r>
        <w:rPr>
          <w:b/>
          <w:i/>
          <w:sz w:val="28"/>
          <w:szCs w:val="28"/>
        </w:rPr>
        <w:t>Состояние кормовой базы</w:t>
      </w:r>
    </w:p>
    <w:p>
      <w:pPr>
        <w:pStyle w:val="Normal"/>
        <w:spacing w:lineRule="auto" w:line="276"/>
        <w:ind w:firstLine="708"/>
        <w:jc w:val="both"/>
        <w:rPr>
          <w:sz w:val="28"/>
          <w:szCs w:val="28"/>
        </w:rPr>
      </w:pPr>
      <w:r>
        <w:rPr>
          <w:sz w:val="28"/>
          <w:szCs w:val="28"/>
        </w:rPr>
        <w:t>Ханты-Мансийский автономный округ обладает значительным потенциалом возобновляемых природных ресурсов, одним из которых являются дикоросы.</w:t>
      </w:r>
    </w:p>
    <w:p>
      <w:pPr>
        <w:pStyle w:val="Normal"/>
        <w:spacing w:lineRule="auto" w:line="276"/>
        <w:ind w:firstLine="708"/>
        <w:jc w:val="both"/>
        <w:rPr>
          <w:sz w:val="28"/>
          <w:szCs w:val="28"/>
        </w:rPr>
      </w:pPr>
      <w:r>
        <w:rPr>
          <w:sz w:val="28"/>
          <w:szCs w:val="28"/>
        </w:rPr>
        <w:t xml:space="preserve">На территории Ханты-Мансийского автономного округа – Югры эксплуатационный запас дикоросов составляет (тыс. тонн): </w:t>
      </w:r>
    </w:p>
    <w:p>
      <w:pPr>
        <w:pStyle w:val="Normal"/>
        <w:spacing w:lineRule="auto" w:line="276"/>
        <w:ind w:firstLine="708"/>
        <w:jc w:val="both"/>
        <w:rPr>
          <w:sz w:val="28"/>
          <w:szCs w:val="28"/>
        </w:rPr>
      </w:pPr>
      <w:r>
        <w:rPr>
          <w:sz w:val="28"/>
          <w:szCs w:val="28"/>
        </w:rPr>
        <w:t>клюква –           5968,66;</w:t>
      </w:r>
    </w:p>
    <w:p>
      <w:pPr>
        <w:pStyle w:val="Normal"/>
        <w:spacing w:lineRule="auto" w:line="276"/>
        <w:ind w:firstLine="708"/>
        <w:jc w:val="both"/>
        <w:rPr>
          <w:sz w:val="28"/>
          <w:szCs w:val="28"/>
        </w:rPr>
      </w:pPr>
      <w:r>
        <w:rPr>
          <w:sz w:val="28"/>
          <w:szCs w:val="28"/>
        </w:rPr>
        <w:t>брусника –        3560;</w:t>
      </w:r>
    </w:p>
    <w:p>
      <w:pPr>
        <w:pStyle w:val="Normal"/>
        <w:spacing w:lineRule="auto" w:line="276"/>
        <w:ind w:firstLine="708"/>
        <w:jc w:val="both"/>
        <w:rPr>
          <w:sz w:val="28"/>
          <w:szCs w:val="28"/>
        </w:rPr>
      </w:pPr>
      <w:r>
        <w:rPr>
          <w:sz w:val="28"/>
          <w:szCs w:val="28"/>
        </w:rPr>
        <w:t>черника –         1018,39;</w:t>
      </w:r>
    </w:p>
    <w:p>
      <w:pPr>
        <w:pStyle w:val="Normal"/>
        <w:spacing w:lineRule="auto" w:line="276"/>
        <w:ind w:firstLine="708"/>
        <w:jc w:val="both"/>
        <w:rPr>
          <w:sz w:val="28"/>
          <w:szCs w:val="28"/>
        </w:rPr>
      </w:pPr>
      <w:r>
        <w:rPr>
          <w:sz w:val="28"/>
          <w:szCs w:val="28"/>
        </w:rPr>
        <w:t>голубика –        680,97;</w:t>
      </w:r>
    </w:p>
    <w:p>
      <w:pPr>
        <w:pStyle w:val="Normal"/>
        <w:spacing w:lineRule="auto" w:line="276"/>
        <w:ind w:firstLine="708"/>
        <w:jc w:val="both"/>
        <w:rPr>
          <w:sz w:val="28"/>
          <w:szCs w:val="28"/>
        </w:rPr>
      </w:pPr>
      <w:r>
        <w:rPr>
          <w:sz w:val="28"/>
          <w:szCs w:val="28"/>
        </w:rPr>
        <w:t>морошка –        627,54;</w:t>
      </w:r>
    </w:p>
    <w:p>
      <w:pPr>
        <w:pStyle w:val="Normal"/>
        <w:spacing w:lineRule="auto" w:line="276"/>
        <w:ind w:firstLine="708"/>
        <w:jc w:val="both"/>
        <w:rPr>
          <w:sz w:val="28"/>
          <w:szCs w:val="28"/>
        </w:rPr>
      </w:pPr>
      <w:r>
        <w:rPr>
          <w:sz w:val="28"/>
          <w:szCs w:val="28"/>
        </w:rPr>
        <w:t>смородина –     122,46;</w:t>
      </w:r>
    </w:p>
    <w:p>
      <w:pPr>
        <w:pStyle w:val="Normal"/>
        <w:spacing w:lineRule="auto" w:line="276"/>
        <w:ind w:firstLine="708"/>
        <w:jc w:val="both"/>
        <w:rPr>
          <w:sz w:val="28"/>
          <w:szCs w:val="28"/>
        </w:rPr>
      </w:pPr>
      <w:r>
        <w:rPr>
          <w:sz w:val="28"/>
          <w:szCs w:val="28"/>
        </w:rPr>
        <w:t>грибы –             442,73;</w:t>
      </w:r>
    </w:p>
    <w:p>
      <w:pPr>
        <w:pStyle w:val="Normal"/>
        <w:spacing w:lineRule="auto" w:line="276"/>
        <w:ind w:firstLine="708"/>
        <w:jc w:val="both"/>
        <w:rPr>
          <w:sz w:val="28"/>
          <w:szCs w:val="28"/>
        </w:rPr>
      </w:pPr>
      <w:r>
        <w:rPr>
          <w:sz w:val="28"/>
          <w:szCs w:val="28"/>
        </w:rPr>
        <w:t>орех кедровый – 86,39.</w:t>
      </w:r>
    </w:p>
    <w:p>
      <w:pPr>
        <w:pStyle w:val="Normal"/>
        <w:spacing w:lineRule="auto" w:line="276"/>
        <w:ind w:firstLine="708"/>
        <w:jc w:val="both"/>
        <w:rPr>
          <w:sz w:val="28"/>
          <w:szCs w:val="28"/>
        </w:rPr>
      </w:pPr>
      <w:r>
        <w:rPr>
          <w:sz w:val="28"/>
          <w:szCs w:val="28"/>
        </w:rPr>
        <w:t>Общий биологический запас дикоросов на территории округа составляет 22 088,82 тыс. тонн, эксплуатационные запасы 11 020,89 тыс. тонн.</w:t>
      </w:r>
    </w:p>
    <w:p>
      <w:pPr>
        <w:sectPr>
          <w:footerReference w:type="default" r:id="rId9"/>
          <w:type w:val="nextPage"/>
          <w:pgSz w:w="11906" w:h="16838"/>
          <w:pgMar w:left="1559" w:right="1416" w:header="0" w:top="1560" w:footer="709" w:bottom="766" w:gutter="0"/>
          <w:pgNumType w:start="1" w:fmt="decimal"/>
          <w:formProt w:val="false"/>
          <w:titlePg/>
          <w:textDirection w:val="lrTb"/>
          <w:docGrid w:type="default" w:linePitch="360" w:charSpace="0"/>
        </w:sectPr>
        <w:pStyle w:val="Normal"/>
        <w:ind w:firstLine="708"/>
        <w:jc w:val="both"/>
        <w:rPr/>
      </w:pPr>
      <w:r>
        <w:rPr>
          <w:sz w:val="28"/>
          <w:szCs w:val="28"/>
        </w:rPr>
        <w:t xml:space="preserve">Урожайность кормовых ресурсов на осень 2015 года приведена в таблице (отчет, включающий эколого-ресурсную оценку запасов дикоросов на территорий Ханты-мансийского автономного                               округа – Югры, по Государственному контракту от 11 сентября 2013 года № 636К/13, Тюменский гос. университет, 2014 г.): </w:t>
      </w:r>
    </w:p>
    <w:p>
      <w:pPr>
        <w:pStyle w:val="Normal"/>
        <w:jc w:val="right"/>
        <w:rPr/>
      </w:pPr>
      <w:r>
        <w:rPr/>
        <w:t xml:space="preserve">                                                                                                                                                                                                                            </w:t>
      </w:r>
      <w:r>
        <w:rPr/>
        <w:t>Таблица 6</w:t>
      </w:r>
    </w:p>
    <w:p>
      <w:pPr>
        <w:pStyle w:val="Normal"/>
        <w:jc w:val="center"/>
        <w:rPr/>
      </w:pPr>
      <w:r>
        <w:rPr/>
        <w:t>Ханты-Мансийский автономный округ – Югра. Сводная таблица запасов дикоросов</w:t>
      </w:r>
    </w:p>
    <w:tbl>
      <w:tblPr>
        <w:tblStyle w:val="TableGrid"/>
        <w:tblpPr w:bottomFromText="0" w:horzAnchor="margin" w:leftFromText="180" w:rightFromText="180" w:tblpX="0" w:tblpXSpec="center" w:tblpY="186" w:topFromText="0" w:vertAnchor="text"/>
        <w:tblW w:w="151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 w:type="dxa"/>
          <w:left w:w="37" w:type="dxa"/>
          <w:bottom w:w="4" w:type="dxa"/>
          <w:right w:w="27" w:type="dxa"/>
        </w:tblCellMar>
        <w:tblLook w:firstRow="1" w:noVBand="1" w:lastRow="0" w:firstColumn="1" w:lastColumn="0" w:noHBand="0" w:val="04a0"/>
      </w:tblPr>
      <w:tblGrid>
        <w:gridCol w:w="988"/>
        <w:gridCol w:w="708"/>
        <w:gridCol w:w="850"/>
        <w:gridCol w:w="850"/>
        <w:gridCol w:w="851"/>
        <w:gridCol w:w="850"/>
        <w:gridCol w:w="991"/>
        <w:gridCol w:w="851"/>
        <w:gridCol w:w="850"/>
        <w:gridCol w:w="851"/>
        <w:gridCol w:w="850"/>
        <w:gridCol w:w="1"/>
        <w:gridCol w:w="707"/>
        <w:gridCol w:w="567"/>
        <w:gridCol w:w="1"/>
        <w:gridCol w:w="708"/>
        <w:gridCol w:w="710"/>
        <w:gridCol w:w="1"/>
        <w:gridCol w:w="705"/>
        <w:gridCol w:w="709"/>
        <w:gridCol w:w="3"/>
        <w:gridCol w:w="848"/>
        <w:gridCol w:w="707"/>
      </w:tblGrid>
      <w:tr>
        <w:trPr>
          <w:trHeight w:val="228" w:hRule="atLeast"/>
        </w:trPr>
        <w:tc>
          <w:tcPr>
            <w:tcW w:w="9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eastAsia="" w:eastAsiaTheme="minorEastAsia"/>
                <w:lang w:eastAsia="ru-RU"/>
              </w:rPr>
            </w:pPr>
            <w:r>
              <w:rPr>
                <w:rFonts w:eastAsia="" w:eastAsiaTheme="minorEastAsia"/>
                <w:lang w:eastAsia="ru-RU"/>
              </w:rPr>
              <w:t xml:space="preserve">Лесничества </w:t>
            </w:r>
          </w:p>
        </w:tc>
        <w:tc>
          <w:tcPr>
            <w:tcW w:w="1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Клюква </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Брусника </w:t>
            </w:r>
          </w:p>
        </w:tc>
        <w:tc>
          <w:tcPr>
            <w:tcW w:w="18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Черника </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Голубика </w:t>
            </w:r>
          </w:p>
        </w:tc>
        <w:tc>
          <w:tcPr>
            <w:tcW w:w="17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Морошка </w:t>
            </w:r>
          </w:p>
        </w:tc>
        <w:tc>
          <w:tcPr>
            <w:tcW w:w="12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Смородина </w:t>
            </w:r>
          </w:p>
        </w:tc>
        <w:tc>
          <w:tcPr>
            <w:tcW w:w="14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Грибы </w:t>
            </w:r>
          </w:p>
        </w:tc>
        <w:tc>
          <w:tcPr>
            <w:tcW w:w="141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Орех кедр. </w:t>
            </w:r>
          </w:p>
        </w:tc>
        <w:tc>
          <w:tcPr>
            <w:tcW w:w="15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Итого </w:t>
            </w:r>
          </w:p>
        </w:tc>
      </w:tr>
      <w:tr>
        <w:trPr>
          <w:trHeight w:val="229" w:hRule="atLeast"/>
        </w:trPr>
        <w:tc>
          <w:tcPr>
            <w:tcW w:w="98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биол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экспл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биол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экспл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биол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экспл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биол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экспл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биол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экспл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биол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экспл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биол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экспл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биол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экспл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биол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экспл </w:t>
            </w:r>
          </w:p>
        </w:tc>
      </w:tr>
      <w:tr>
        <w:trPr>
          <w:trHeight w:val="227"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Аганское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611,6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306,11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325,92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162,97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91,06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45,54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74,69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32,24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61,6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30,8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5,92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2,06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45,01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22,49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8,77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4,39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1224,57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606,6 </w:t>
            </w:r>
          </w:p>
        </w:tc>
      </w:tr>
      <w:tr>
        <w:trPr>
          <w:trHeight w:val="229"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Белоярское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791,86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395,98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518,05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258,14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158,45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79,23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123,11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67" w:firstLine="20"/>
              <w:rPr>
                <w:rFonts w:eastAsia="" w:eastAsiaTheme="minorEastAsia"/>
                <w:lang w:eastAsia="ru-RU"/>
              </w:rPr>
            </w:pPr>
            <w:r>
              <w:rPr>
                <w:rFonts w:eastAsia="" w:eastAsiaTheme="minorEastAsia"/>
                <w:lang w:eastAsia="ru-RU"/>
              </w:rPr>
              <w:t xml:space="preserve">55,97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82,44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41,22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11,94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5,96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77,4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38,7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1,65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0,83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1764,9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876,03 </w:t>
            </w:r>
          </w:p>
        </w:tc>
      </w:tr>
      <w:tr>
        <w:trPr>
          <w:trHeight w:val="445"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eastAsia="" w:eastAsiaTheme="minorEastAsia"/>
                <w:lang w:eastAsia="ru-RU"/>
              </w:rPr>
            </w:pPr>
            <w:r>
              <w:rPr>
                <w:rFonts w:eastAsia="" w:eastAsiaTheme="minorEastAsia"/>
                <w:lang w:eastAsia="ru-RU"/>
              </w:rPr>
              <w:t xml:space="preserve">Березовское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817,14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408,58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841,08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420,54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320,22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160,1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122,9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61,44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98,06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49,04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19,42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9,72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126,7 5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63,38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20,16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10,04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eastAsia="" w:eastAsiaTheme="minorEastAsia"/>
                <w:lang w:eastAsia="ru-RU"/>
              </w:rPr>
            </w:pPr>
            <w:r>
              <w:rPr>
                <w:rFonts w:eastAsia="" w:eastAsiaTheme="minorEastAsia"/>
                <w:lang w:eastAsia="ru-RU"/>
              </w:rPr>
              <w:t xml:space="preserve">2365,73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eastAsia="" w:eastAsiaTheme="minorEastAsia"/>
                <w:lang w:eastAsia="ru-RU"/>
              </w:rPr>
            </w:pPr>
            <w:r>
              <w:rPr>
                <w:rFonts w:eastAsia="" w:eastAsiaTheme="minorEastAsia"/>
                <w:lang w:eastAsia="ru-RU"/>
              </w:rPr>
              <w:t xml:space="preserve">1182,84 </w:t>
            </w:r>
          </w:p>
        </w:tc>
      </w:tr>
      <w:tr>
        <w:trPr>
          <w:trHeight w:val="264"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Кондинское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1156,69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578,34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230,96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115,48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137,61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68,78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108,47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54,215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120,712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60,421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16,907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8,439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55,498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27,751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2,056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1,031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1828,903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914,457 </w:t>
            </w:r>
          </w:p>
        </w:tc>
      </w:tr>
      <w:tr>
        <w:trPr>
          <w:trHeight w:val="227"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Мегионское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399,1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199,53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178,74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89,35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101,09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50,55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48,43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24,22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42,39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21,18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22,89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11,45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40,02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20,02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25,302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12,6601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857,962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428,9601 </w:t>
            </w:r>
          </w:p>
        </w:tc>
      </w:tr>
      <w:tr>
        <w:trPr>
          <w:trHeight w:val="227"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Нефтеюганское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210,31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105,18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44,08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22,04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34,99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17,49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19,09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9,54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21,16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10,58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13,51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3,62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14,26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7,13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4,42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2,20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361,82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177,78 </w:t>
            </w:r>
          </w:p>
        </w:tc>
      </w:tr>
      <w:tr>
        <w:trPr>
          <w:trHeight w:val="229"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Нижневартовское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1742,71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871,34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702,5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351,26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295,04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147,52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205,9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102,97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166,51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83,26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25,9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12,96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117,52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58,76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28,926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14,45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3285,006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1642,52 </w:t>
            </w:r>
          </w:p>
        </w:tc>
      </w:tr>
      <w:tr>
        <w:trPr>
          <w:trHeight w:val="227"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Няксимвольское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357,76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178,84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253,14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126,61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118,99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59,5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54,82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27,42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53,66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26,795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7,41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3,69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51,06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25,52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9,84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4,96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906,68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453,335 </w:t>
            </w:r>
          </w:p>
        </w:tc>
      </w:tr>
      <w:tr>
        <w:trPr>
          <w:trHeight w:val="229"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Октябрьское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249,43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114,55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117,83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58,19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54,82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27,4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47,71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23,88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28,816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14,413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9,584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4,787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44,69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22,34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1,623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0,811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554,503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266,371 </w:t>
            </w:r>
          </w:p>
        </w:tc>
      </w:tr>
      <w:tr>
        <w:trPr>
          <w:trHeight w:val="227"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Самаровское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1053,85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528,93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369,96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184,97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167,17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83,59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111,49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55,75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109,4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54,74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23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11,48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70,71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35,33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13,714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6,862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1919,294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961,652 </w:t>
            </w:r>
          </w:p>
        </w:tc>
      </w:tr>
      <w:tr>
        <w:trPr>
          <w:trHeight w:val="227"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Советское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473,97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236,99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496,37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248,21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210,31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105,167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86,25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43,15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76,234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38,14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10,808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5,3905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75,935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37,937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6,2708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3,2844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1436,148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718,2689 </w:t>
            </w:r>
          </w:p>
        </w:tc>
      </w:tr>
      <w:tr>
        <w:trPr>
          <w:trHeight w:val="229"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Сургутское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2366,66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1183,34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340,77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170,38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74,53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36,81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207,24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103,62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212,25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106,13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12,17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6,09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42,82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21,42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3,449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1,745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3259,889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1629,53 </w:t>
            </w:r>
          </w:p>
        </w:tc>
      </w:tr>
      <w:tr>
        <w:trPr>
          <w:trHeight w:val="227"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Урайское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578,11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289,05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136,34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68,16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60,027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30,013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59,045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29,528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63,451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31,717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6,61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3,3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26,298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13,139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4,02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2,005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933,901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466,912 </w:t>
            </w:r>
          </w:p>
        </w:tc>
      </w:tr>
      <w:tr>
        <w:trPr>
          <w:trHeight w:val="229"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Юганское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723,06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361,53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222,01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111,01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143,41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71,7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75,844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37,93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75,88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37,94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52,55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26,27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69,05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34,53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27,69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13,86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1389,494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694,77 </w:t>
            </w:r>
          </w:p>
        </w:tc>
      </w:tr>
      <w:tr>
        <w:trPr>
          <w:trHeight w:val="227"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Итого по округу</w:t>
            </w:r>
            <w:r>
              <w:rPr>
                <w:rFonts w:eastAsia="" w:eastAsiaTheme="minorEastAsia"/>
                <w:i/>
                <w:lang w:eastAsia="ru-RU"/>
              </w:rPr>
              <w:t xml:space="preserve">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11532,25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5758,29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4777,75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2387.33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1967,717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983,39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1344,99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661,87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1212,56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606,38 </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238,62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115,22 </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857,02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428,45 </w:t>
            </w:r>
          </w:p>
        </w:tc>
        <w:tc>
          <w:tcPr>
            <w:tcW w:w="7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157,89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79,12 </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22088,82 </w:t>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ru-RU"/>
              </w:rPr>
            </w:pPr>
            <w:r>
              <w:rPr>
                <w:rFonts w:eastAsia="" w:eastAsiaTheme="minorEastAsia"/>
                <w:lang w:eastAsia="ru-RU"/>
              </w:rPr>
              <w:t xml:space="preserve">11020,89 </w:t>
            </w:r>
          </w:p>
        </w:tc>
      </w:tr>
    </w:tbl>
    <w:p>
      <w:pPr>
        <w:pStyle w:val="Normal"/>
        <w:jc w:val="center"/>
        <w:rPr/>
      </w:pPr>
      <w:r>
        <w:rPr/>
        <w:t xml:space="preserve"> </w:t>
      </w:r>
    </w:p>
    <w:p>
      <w:pPr>
        <w:sectPr>
          <w:footerReference w:type="default" r:id="rId10"/>
          <w:type w:val="nextPage"/>
          <w:pgSz w:orient="landscape" w:w="16838" w:h="11906"/>
          <w:pgMar w:left="1134" w:right="1134" w:header="0" w:top="1418" w:footer="709" w:bottom="766" w:gutter="0"/>
          <w:pgNumType w:start="19" w:fmt="decimal"/>
          <w:formProt w:val="false"/>
          <w:textDirection w:val="lrTb"/>
          <w:docGrid w:type="default" w:linePitch="326" w:charSpace="0"/>
        </w:sectPr>
        <w:pStyle w:val="Normal"/>
        <w:jc w:val="center"/>
        <w:rPr/>
      </w:pPr>
      <w:r>
        <w:rPr/>
        <w:t>(биологический и эксплуатационный запас, в тыс. тонн)</w:t>
      </w:r>
    </w:p>
    <w:p>
      <w:pPr>
        <w:pStyle w:val="Normal"/>
        <w:tabs>
          <w:tab w:val="clear" w:pos="708"/>
          <w:tab w:val="left" w:pos="2700" w:leader="none"/>
        </w:tabs>
        <w:jc w:val="right"/>
        <w:rPr/>
      </w:pPr>
      <w:r>
        <w:rPr/>
        <w:t>Таблица 8</w:t>
      </w:r>
    </w:p>
    <w:p>
      <w:pPr>
        <w:pStyle w:val="Normal"/>
        <w:tabs>
          <w:tab w:val="clear" w:pos="708"/>
          <w:tab w:val="left" w:pos="2700" w:leader="none"/>
        </w:tabs>
        <w:jc w:val="center"/>
        <w:rPr/>
      </w:pPr>
      <w:r>
        <w:rPr>
          <w:b/>
          <w:sz w:val="28"/>
          <w:szCs w:val="28"/>
        </w:rPr>
        <w:t>Сведения об охотничьих ресурсах с целью установления лимита добычи в охотничий сезон 2019-2020 гг.</w:t>
      </w:r>
    </w:p>
    <w:p>
      <w:pPr>
        <w:pStyle w:val="Normal"/>
        <w:tabs>
          <w:tab w:val="clear" w:pos="708"/>
          <w:tab w:val="left" w:pos="2700" w:leader="none"/>
        </w:tabs>
        <w:jc w:val="center"/>
        <w:rPr/>
      </w:pPr>
      <w:r>
        <w:rPr>
          <w:b/>
          <w:sz w:val="28"/>
          <w:szCs w:val="28"/>
        </w:rPr>
        <w:t>на территории охотничьих угодий Ханты-Мансийского автономного округа – Югры</w:t>
      </w:r>
    </w:p>
    <w:p>
      <w:pPr>
        <w:pStyle w:val="Normal"/>
        <w:tabs>
          <w:tab w:val="clear" w:pos="708"/>
          <w:tab w:val="left" w:pos="2700" w:leader="none"/>
        </w:tabs>
        <w:jc w:val="center"/>
        <w:rPr>
          <w:sz w:val="28"/>
          <w:szCs w:val="28"/>
        </w:rPr>
      </w:pPr>
      <w:r>
        <w:rPr>
          <w:sz w:val="28"/>
          <w:szCs w:val="28"/>
        </w:rPr>
      </w:r>
    </w:p>
    <w:tbl>
      <w:tblPr>
        <w:tblW w:w="144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firstRow="1" w:noVBand="0" w:lastRow="1" w:firstColumn="1" w:lastColumn="1" w:noHBand="0" w:val="01e0"/>
      </w:tblPr>
      <w:tblGrid>
        <w:gridCol w:w="1555"/>
        <w:gridCol w:w="1064"/>
        <w:gridCol w:w="1136"/>
        <w:gridCol w:w="990"/>
        <w:gridCol w:w="3"/>
        <w:gridCol w:w="920"/>
        <w:gridCol w:w="1276"/>
        <w:gridCol w:w="989"/>
        <w:gridCol w:w="5"/>
        <w:gridCol w:w="1129"/>
        <w:gridCol w:w="5"/>
        <w:gridCol w:w="849"/>
        <w:gridCol w:w="1081"/>
        <w:gridCol w:w="1"/>
        <w:gridCol w:w="1045"/>
        <w:gridCol w:w="1316"/>
        <w:gridCol w:w="1102"/>
      </w:tblGrid>
      <w:tr>
        <w:trPr/>
        <w:tc>
          <w:tcPr>
            <w:tcW w:w="15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700" w:leader="none"/>
              </w:tabs>
              <w:jc w:val="center"/>
              <w:rPr>
                <w:sz w:val="28"/>
                <w:szCs w:val="28"/>
              </w:rPr>
            </w:pPr>
            <w:r>
              <w:rPr>
                <w:sz w:val="28"/>
                <w:szCs w:val="28"/>
              </w:rPr>
              <w:t>Охотничьи</w:t>
            </w:r>
          </w:p>
          <w:p>
            <w:pPr>
              <w:pStyle w:val="Normal"/>
              <w:jc w:val="center"/>
              <w:rPr>
                <w:sz w:val="28"/>
                <w:szCs w:val="28"/>
              </w:rPr>
            </w:pPr>
            <w:r>
              <w:rPr>
                <w:sz w:val="28"/>
                <w:szCs w:val="28"/>
              </w:rPr>
              <w:t>ресурсы</w:t>
            </w:r>
          </w:p>
        </w:tc>
        <w:tc>
          <w:tcPr>
            <w:tcW w:w="31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 xml:space="preserve">Охотничий сезон </w:t>
            </w:r>
          </w:p>
          <w:p>
            <w:pPr>
              <w:pStyle w:val="Normal"/>
              <w:jc w:val="center"/>
              <w:rPr/>
            </w:pPr>
            <w:r>
              <w:rPr>
                <w:sz w:val="28"/>
                <w:szCs w:val="28"/>
              </w:rPr>
              <w:t>2017-2018 г.</w:t>
            </w:r>
          </w:p>
        </w:tc>
        <w:tc>
          <w:tcPr>
            <w:tcW w:w="318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 xml:space="preserve">Охотничий сезон </w:t>
            </w:r>
          </w:p>
          <w:p>
            <w:pPr>
              <w:pStyle w:val="Normal"/>
              <w:jc w:val="center"/>
              <w:rPr/>
            </w:pPr>
            <w:r>
              <w:rPr>
                <w:sz w:val="28"/>
                <w:szCs w:val="28"/>
              </w:rPr>
              <w:t>2018-2019 г.</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c>
          <w:tcPr>
            <w:tcW w:w="539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 xml:space="preserve">Устанавливаемый лимит добычи </w:t>
            </w:r>
          </w:p>
          <w:p>
            <w:pPr>
              <w:pStyle w:val="Normal"/>
              <w:jc w:val="center"/>
              <w:rPr/>
            </w:pPr>
            <w:r>
              <w:rPr>
                <w:sz w:val="28"/>
                <w:szCs w:val="28"/>
              </w:rPr>
              <w:t>на охотничий сезон 2019-2020 г.</w:t>
            </w:r>
          </w:p>
          <w:p>
            <w:pPr>
              <w:pStyle w:val="Normal"/>
              <w:jc w:val="center"/>
              <w:rPr>
                <w:sz w:val="28"/>
                <w:szCs w:val="28"/>
              </w:rPr>
            </w:pPr>
            <w:r>
              <w:rPr>
                <w:sz w:val="28"/>
                <w:szCs w:val="28"/>
              </w:rPr>
            </w:r>
          </w:p>
        </w:tc>
      </w:tr>
      <w:tr>
        <w:trPr>
          <w:trHeight w:val="1111" w:hRule="atLeast"/>
        </w:trPr>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8"/>
              </w:rPr>
            </w:pPr>
            <w:r>
              <w:rPr>
                <w:sz w:val="28"/>
                <w:szCs w:val="28"/>
              </w:rPr>
            </w:r>
          </w:p>
        </w:tc>
        <w:tc>
          <w:tcPr>
            <w:tcW w:w="106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700" w:leader="none"/>
              </w:tabs>
              <w:jc w:val="center"/>
              <w:rPr/>
            </w:pPr>
            <w:r>
              <w:rPr/>
              <w:t xml:space="preserve">Числен-ность </w:t>
            </w:r>
          </w:p>
          <w:p>
            <w:pPr>
              <w:pStyle w:val="Normal"/>
              <w:jc w:val="center"/>
              <w:rPr/>
            </w:pPr>
            <w:r>
              <w:rPr/>
              <w:t>особей</w:t>
            </w:r>
          </w:p>
        </w:tc>
        <w:tc>
          <w:tcPr>
            <w:tcW w:w="11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700" w:leader="none"/>
              </w:tabs>
              <w:jc w:val="center"/>
              <w:rPr/>
            </w:pPr>
            <w:r>
              <w:rPr/>
              <w:t>Установ-ленный.</w:t>
            </w:r>
          </w:p>
          <w:p>
            <w:pPr>
              <w:pStyle w:val="Normal"/>
              <w:tabs>
                <w:tab w:val="clear" w:pos="708"/>
                <w:tab w:val="left" w:pos="2700" w:leader="none"/>
              </w:tabs>
              <w:jc w:val="center"/>
              <w:rPr/>
            </w:pPr>
            <w:r>
              <w:rPr/>
              <w:t>лимит</w:t>
            </w:r>
          </w:p>
          <w:p>
            <w:pPr>
              <w:pStyle w:val="Normal"/>
              <w:tabs>
                <w:tab w:val="clear" w:pos="708"/>
                <w:tab w:val="left" w:pos="2700" w:leader="none"/>
              </w:tabs>
              <w:jc w:val="center"/>
              <w:rPr/>
            </w:pPr>
            <w:r>
              <w:rPr/>
              <w:t>добычи,</w:t>
            </w:r>
          </w:p>
          <w:p>
            <w:pPr>
              <w:pStyle w:val="Normal"/>
              <w:jc w:val="center"/>
              <w:rPr/>
            </w:pPr>
            <w:r>
              <w:rPr/>
              <w:t>особей.</w:t>
            </w:r>
          </w:p>
        </w:tc>
        <w:tc>
          <w:tcPr>
            <w:tcW w:w="99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700" w:leader="none"/>
              </w:tabs>
              <w:jc w:val="center"/>
              <w:rPr/>
            </w:pPr>
            <w:r>
              <w:rPr/>
              <w:t>Освое-ние</w:t>
            </w:r>
          </w:p>
          <w:p>
            <w:pPr>
              <w:pStyle w:val="Normal"/>
              <w:jc w:val="center"/>
              <w:rPr/>
            </w:pPr>
            <w:r>
              <w:rPr/>
              <w:t>лимита</w:t>
            </w:r>
          </w:p>
          <w:p>
            <w:pPr>
              <w:pStyle w:val="Normal"/>
              <w:jc w:val="center"/>
              <w:rPr/>
            </w:pPr>
            <w:r>
              <w:rPr/>
              <w:t>%</w:t>
            </w:r>
          </w:p>
        </w:tc>
        <w:tc>
          <w:tcPr>
            <w:tcW w:w="9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700" w:leader="none"/>
              </w:tabs>
              <w:jc w:val="center"/>
              <w:rPr/>
            </w:pPr>
            <w:r>
              <w:rPr/>
              <w:t>Числен-ность</w:t>
            </w:r>
          </w:p>
          <w:p>
            <w:pPr>
              <w:pStyle w:val="Normal"/>
              <w:jc w:val="center"/>
              <w:rPr/>
            </w:pPr>
            <w:r>
              <w:rPr/>
              <w:t>особей</w:t>
            </w:r>
          </w:p>
        </w:tc>
        <w:tc>
          <w:tcPr>
            <w:tcW w:w="12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700" w:leader="none"/>
              </w:tabs>
              <w:jc w:val="center"/>
              <w:rPr/>
            </w:pPr>
            <w:r>
              <w:rPr/>
              <w:t>Установ-ленный</w:t>
            </w:r>
          </w:p>
          <w:p>
            <w:pPr>
              <w:pStyle w:val="Normal"/>
              <w:tabs>
                <w:tab w:val="clear" w:pos="708"/>
                <w:tab w:val="left" w:pos="2700" w:leader="none"/>
              </w:tabs>
              <w:jc w:val="center"/>
              <w:rPr/>
            </w:pPr>
            <w:r>
              <w:rPr/>
              <w:t>лимит</w:t>
            </w:r>
          </w:p>
          <w:p>
            <w:pPr>
              <w:pStyle w:val="Normal"/>
              <w:tabs>
                <w:tab w:val="clear" w:pos="708"/>
                <w:tab w:val="left" w:pos="2700" w:leader="none"/>
              </w:tabs>
              <w:jc w:val="center"/>
              <w:rPr/>
            </w:pPr>
            <w:r>
              <w:rPr/>
              <w:t>добычи,</w:t>
            </w:r>
          </w:p>
          <w:p>
            <w:pPr>
              <w:pStyle w:val="Normal"/>
              <w:jc w:val="center"/>
              <w:rPr/>
            </w:pPr>
            <w:r>
              <w:rPr/>
              <w:t>особей.</w:t>
            </w:r>
          </w:p>
        </w:tc>
        <w:tc>
          <w:tcPr>
            <w:tcW w:w="99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700" w:leader="none"/>
              </w:tabs>
              <w:jc w:val="center"/>
              <w:rPr/>
            </w:pPr>
            <w:r>
              <w:rPr/>
              <w:t>Освое-ние</w:t>
            </w:r>
          </w:p>
          <w:p>
            <w:pPr>
              <w:pStyle w:val="Normal"/>
              <w:jc w:val="center"/>
              <w:rPr/>
            </w:pPr>
            <w:r>
              <w:rPr/>
              <w:t>лимита</w:t>
            </w:r>
          </w:p>
          <w:p>
            <w:pPr>
              <w:pStyle w:val="Normal"/>
              <w:jc w:val="center"/>
              <w:rPr/>
            </w:pPr>
            <w:r>
              <w:rPr/>
              <w:t>%</w:t>
            </w:r>
          </w:p>
        </w:tc>
        <w:tc>
          <w:tcPr>
            <w:tcW w:w="113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700" w:leader="none"/>
              </w:tabs>
              <w:jc w:val="center"/>
              <w:rPr/>
            </w:pPr>
            <w:r>
              <w:rPr/>
              <w:t>Чис-лен-ность,</w:t>
            </w:r>
          </w:p>
          <w:p>
            <w:pPr>
              <w:pStyle w:val="Normal"/>
              <w:jc w:val="center"/>
              <w:rPr/>
            </w:pPr>
            <w:r>
              <w:rPr/>
              <w:t xml:space="preserve">осбей </w:t>
            </w:r>
          </w:p>
        </w:tc>
        <w:tc>
          <w:tcPr>
            <w:tcW w:w="19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Нормативы</w:t>
            </w:r>
          </w:p>
          <w:p>
            <w:pPr>
              <w:pStyle w:val="Normal"/>
              <w:jc w:val="center"/>
              <w:rPr/>
            </w:pPr>
            <w:r>
              <w:rPr/>
              <w:t>допустимого</w:t>
            </w:r>
          </w:p>
          <w:p>
            <w:pPr>
              <w:pStyle w:val="Normal"/>
              <w:jc w:val="center"/>
              <w:rPr/>
            </w:pPr>
            <w:r>
              <w:rPr/>
              <w:t>изъятия от</w:t>
            </w:r>
          </w:p>
          <w:p>
            <w:pPr>
              <w:pStyle w:val="Normal"/>
              <w:jc w:val="center"/>
              <w:rPr/>
            </w:pPr>
            <w:r>
              <w:rPr/>
              <w:t>численности на</w:t>
            </w:r>
          </w:p>
          <w:p>
            <w:pPr>
              <w:pStyle w:val="Normal"/>
              <w:jc w:val="center"/>
              <w:rPr/>
            </w:pPr>
            <w:r>
              <w:rPr/>
              <w:t>охотничий сезон</w:t>
            </w:r>
          </w:p>
        </w:tc>
        <w:tc>
          <w:tcPr>
            <w:tcW w:w="34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 xml:space="preserve">Лимиты добычи </w:t>
            </w:r>
          </w:p>
          <w:p>
            <w:pPr>
              <w:pStyle w:val="Normal"/>
              <w:jc w:val="center"/>
              <w:rPr/>
            </w:pPr>
            <w:r>
              <w:rPr/>
              <w:t>охотничьих ресурсов</w:t>
            </w:r>
          </w:p>
        </w:tc>
      </w:tr>
      <w:tr>
        <w:trPr>
          <w:trHeight w:val="727" w:hRule="atLeast"/>
        </w:trPr>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8"/>
              </w:rPr>
            </w:pPr>
            <w:r>
              <w:rPr>
                <w:sz w:val="28"/>
                <w:szCs w:val="28"/>
              </w:rPr>
            </w:r>
          </w:p>
        </w:tc>
        <w:tc>
          <w:tcPr>
            <w:tcW w:w="10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1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99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99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13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ос.</w:t>
            </w:r>
          </w:p>
        </w:tc>
        <w:tc>
          <w:tcPr>
            <w:tcW w:w="1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Самцы во время гона</w:t>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Без подразделения по половому признаку</w:t>
            </w:r>
          </w:p>
        </w:tc>
        <w:tc>
          <w:tcPr>
            <w:tcW w:w="1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в возрасте до года</w:t>
            </w:r>
          </w:p>
        </w:tc>
      </w:tr>
      <w:tr>
        <w:trPr>
          <w:trHeight w:val="327"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Лось</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19278</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593</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77,3</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17074</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545</w:t>
            </w:r>
          </w:p>
        </w:tc>
        <w:tc>
          <w:tcPr>
            <w:tcW w:w="9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26,9</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21206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3,2</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678</w:t>
            </w:r>
          </w:p>
        </w:tc>
        <w:tc>
          <w:tcPr>
            <w:tcW w:w="1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63</w:t>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587</w:t>
            </w:r>
          </w:p>
        </w:tc>
        <w:tc>
          <w:tcPr>
            <w:tcW w:w="1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28</w:t>
            </w:r>
          </w:p>
        </w:tc>
      </w:tr>
      <w:tr>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Соболь</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44464</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14568</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55,8</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34094</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7003</w:t>
            </w:r>
          </w:p>
        </w:tc>
        <w:tc>
          <w:tcPr>
            <w:tcW w:w="9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7,6</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38357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33,8</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12986</w:t>
            </w:r>
          </w:p>
        </w:tc>
        <w:tc>
          <w:tcPr>
            <w:tcW w:w="1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12986</w:t>
            </w:r>
          </w:p>
        </w:tc>
        <w:tc>
          <w:tcPr>
            <w:tcW w:w="1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r>
        <w:trPr>
          <w:trHeight w:val="438"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Бурый медведь</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7136</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869</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4,4</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6405</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727</w:t>
            </w:r>
          </w:p>
        </w:tc>
        <w:tc>
          <w:tcPr>
            <w:tcW w:w="9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0,9</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6296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12,6</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798</w:t>
            </w:r>
          </w:p>
        </w:tc>
        <w:tc>
          <w:tcPr>
            <w:tcW w:w="1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798</w:t>
            </w:r>
          </w:p>
        </w:tc>
        <w:tc>
          <w:tcPr>
            <w:tcW w:w="1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r>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Рысь</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131</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5</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0</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60</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4</w:t>
            </w:r>
          </w:p>
        </w:tc>
        <w:tc>
          <w:tcPr>
            <w:tcW w:w="9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0</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161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5,5</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4</w:t>
            </w:r>
          </w:p>
        </w:tc>
        <w:tc>
          <w:tcPr>
            <w:tcW w:w="1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4</w:t>
            </w:r>
          </w:p>
        </w:tc>
        <w:tc>
          <w:tcPr>
            <w:tcW w:w="1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r>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Барсук</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5025</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255</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31,0</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4374</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227</w:t>
            </w:r>
          </w:p>
        </w:tc>
        <w:tc>
          <w:tcPr>
            <w:tcW w:w="9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1,3</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2541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9,3</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237</w:t>
            </w:r>
          </w:p>
        </w:tc>
        <w:tc>
          <w:tcPr>
            <w:tcW w:w="1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237</w:t>
            </w:r>
          </w:p>
        </w:tc>
        <w:tc>
          <w:tcPr>
            <w:tcW w:w="1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r>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Выдра</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3805</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172</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5,9</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3220</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143</w:t>
            </w:r>
          </w:p>
        </w:tc>
        <w:tc>
          <w:tcPr>
            <w:tcW w:w="9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0</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3356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4,5</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154</w:t>
            </w:r>
          </w:p>
        </w:tc>
        <w:tc>
          <w:tcPr>
            <w:tcW w:w="1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8"/>
                <w:szCs w:val="28"/>
              </w:rPr>
              <w:t>154</w:t>
            </w:r>
          </w:p>
        </w:tc>
        <w:tc>
          <w:tcPr>
            <w:tcW w:w="1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bl>
    <w:p>
      <w:pPr>
        <w:sectPr>
          <w:footerReference w:type="default" r:id="rId11"/>
          <w:type w:val="nextPage"/>
          <w:pgSz w:orient="landscape" w:w="16838" w:h="11906"/>
          <w:pgMar w:left="1418" w:right="820" w:header="0" w:top="1134" w:footer="709" w:bottom="1134" w:gutter="0"/>
          <w:pgNumType w:fmt="decimal"/>
          <w:formProt w:val="false"/>
          <w:textDirection w:val="lrTb"/>
          <w:docGrid w:type="default" w:linePitch="100" w:charSpace="0"/>
        </w:sectPr>
      </w:pPr>
    </w:p>
    <w:p>
      <w:pPr>
        <w:pStyle w:val="Normal"/>
        <w:spacing w:lineRule="auto" w:line="276"/>
        <w:jc w:val="center"/>
        <w:rPr/>
      </w:pPr>
      <w:r>
        <w:rPr>
          <w:sz w:val="28"/>
          <w:szCs w:val="28"/>
        </w:rPr>
        <w:t>Заключительная часть.</w:t>
      </w:r>
    </w:p>
    <w:p>
      <w:pPr>
        <w:pStyle w:val="Normal"/>
        <w:spacing w:lineRule="auto" w:line="276"/>
        <w:jc w:val="both"/>
        <w:rPr>
          <w:sz w:val="28"/>
          <w:szCs w:val="28"/>
        </w:rPr>
      </w:pPr>
      <w:r>
        <w:rPr>
          <w:sz w:val="28"/>
          <w:szCs w:val="28"/>
        </w:rPr>
      </w:r>
    </w:p>
    <w:p>
      <w:pPr>
        <w:sectPr>
          <w:footerReference w:type="default" r:id="rId12"/>
          <w:type w:val="nextPage"/>
          <w:pgSz w:w="11906" w:h="16838"/>
          <w:pgMar w:left="1134" w:right="1134" w:header="0" w:top="567" w:footer="709" w:bottom="1418" w:gutter="0"/>
          <w:pgNumType w:fmt="decimal"/>
          <w:formProt w:val="false"/>
          <w:textDirection w:val="lrTb"/>
          <w:docGrid w:type="default" w:linePitch="100" w:charSpace="0"/>
        </w:sectPr>
        <w:pStyle w:val="Normal"/>
        <w:spacing w:lineRule="auto" w:line="276"/>
        <w:jc w:val="both"/>
        <w:rPr>
          <w:sz w:val="28"/>
          <w:szCs w:val="28"/>
        </w:rPr>
      </w:pPr>
      <w:r>
        <w:rPr>
          <w:sz w:val="28"/>
          <w:szCs w:val="28"/>
        </w:rPr>
        <w:tab/>
        <w:t>Контроль за исполнением документа об утверждении лимита добычи охотничьих ресурсов на территории Ханты-Мансийского автономного округа - Югры в охотничьем сезоне 2018-2019 гг., возложен на заместителя директора департамента недропользования и природных ресурсов Ханты-Мансийского автономного округа – Югры: Комиссарова Александра Юрьевича.</w:t>
      </w:r>
    </w:p>
    <w:p>
      <w:pPr>
        <w:pStyle w:val="Normal"/>
        <w:ind w:firstLine="540"/>
        <w:jc w:val="center"/>
        <w:rPr>
          <w:sz w:val="28"/>
          <w:szCs w:val="28"/>
        </w:rPr>
      </w:pPr>
      <w:r>
        <w:rPr>
          <w:sz w:val="28"/>
          <w:szCs w:val="28"/>
        </w:rPr>
        <w:t>Используемая литература</w:t>
      </w:r>
    </w:p>
    <w:p>
      <w:pPr>
        <w:pStyle w:val="Normal"/>
        <w:ind w:firstLine="540"/>
        <w:jc w:val="center"/>
        <w:rPr>
          <w:sz w:val="28"/>
          <w:szCs w:val="28"/>
        </w:rPr>
      </w:pPr>
      <w:r>
        <w:rPr>
          <w:sz w:val="28"/>
          <w:szCs w:val="28"/>
        </w:rPr>
        <w:t xml:space="preserve"> </w:t>
      </w:r>
    </w:p>
    <w:p>
      <w:pPr>
        <w:pStyle w:val="Normal"/>
        <w:ind w:firstLine="1080"/>
        <w:jc w:val="both"/>
        <w:rPr>
          <w:sz w:val="28"/>
          <w:szCs w:val="28"/>
        </w:rPr>
      </w:pPr>
      <w:r>
        <w:rPr>
          <w:sz w:val="28"/>
          <w:szCs w:val="28"/>
        </w:rPr>
      </w:r>
    </w:p>
    <w:p>
      <w:pPr>
        <w:pStyle w:val="Normal"/>
        <w:ind w:firstLine="540"/>
        <w:jc w:val="both"/>
        <w:rPr>
          <w:sz w:val="28"/>
          <w:szCs w:val="28"/>
        </w:rPr>
      </w:pPr>
      <w:r>
        <w:rPr>
          <w:sz w:val="28"/>
          <w:szCs w:val="28"/>
        </w:rPr>
        <w:t>1.</w:t>
        <w:tab/>
        <w:t xml:space="preserve"> Жизнь животных том седьмой – Млекопитающие (под редакцией академика В.Е. Соколова. Москва. Издательство Просвещение, 1989). </w:t>
      </w:r>
    </w:p>
    <w:p>
      <w:pPr>
        <w:pStyle w:val="Normal"/>
        <w:ind w:firstLine="540"/>
        <w:jc w:val="both"/>
        <w:rPr>
          <w:sz w:val="28"/>
          <w:szCs w:val="28"/>
        </w:rPr>
      </w:pPr>
      <w:r>
        <w:rPr>
          <w:sz w:val="28"/>
          <w:szCs w:val="28"/>
        </w:rPr>
        <w:t>2.</w:t>
        <w:tab/>
        <w:t>ГНУ Всероссийской научно-исследовательский институт охотничьего хозяйства и звероводства им. проф. Б.М. Житкова РАСХН ФГОУ ВПО «Вятская государственная сельскохозяйственная академия» «Нормирование использования ресурсов охотничьих животных» Под редакцией В.И. Машкина, Киров.</w:t>
      </w:r>
    </w:p>
    <w:p>
      <w:pPr>
        <w:pStyle w:val="Normal"/>
        <w:ind w:firstLine="540"/>
        <w:jc w:val="both"/>
        <w:rPr>
          <w:sz w:val="28"/>
          <w:szCs w:val="28"/>
        </w:rPr>
      </w:pPr>
      <w:r>
        <w:rPr>
          <w:sz w:val="28"/>
          <w:szCs w:val="28"/>
        </w:rPr>
        <w:t>3.      Отчет, включающий эколого-ресурсную оценку запасов дикоросов на территории Ханты-Мансийского автономного округа – Югры.</w:t>
      </w:r>
    </w:p>
    <w:p>
      <w:pPr>
        <w:pStyle w:val="Normal"/>
        <w:ind w:firstLine="540"/>
        <w:jc w:val="both"/>
        <w:rPr/>
      </w:pPr>
      <w:r>
        <w:rPr>
          <w:bCs/>
        </w:rPr>
        <w:t xml:space="preserve">4.         </w:t>
      </w:r>
      <w:r>
        <w:rPr>
          <w:bCs/>
          <w:sz w:val="28"/>
          <w:szCs w:val="28"/>
        </w:rPr>
        <w:t>Филонов</w:t>
      </w:r>
      <w:r>
        <w:rPr>
          <w:sz w:val="28"/>
          <w:szCs w:val="28"/>
        </w:rPr>
        <w:t xml:space="preserve"> К.П. Лось.-Москва Лесная промышленность </w:t>
      </w:r>
      <w:r>
        <w:rPr>
          <w:bCs/>
          <w:sz w:val="28"/>
          <w:szCs w:val="28"/>
        </w:rPr>
        <w:t>1983</w:t>
      </w:r>
      <w:r>
        <w:rPr>
          <w:sz w:val="28"/>
          <w:szCs w:val="28"/>
        </w:rPr>
        <w:t xml:space="preserve"> – 246.</w:t>
      </w:r>
    </w:p>
    <w:p>
      <w:pPr>
        <w:pStyle w:val="Normal"/>
        <w:rPr>
          <w:rFonts w:eastAsia="Calibri" w:eastAsiaTheme="minorHAnsi"/>
          <w:color w:val="000000"/>
          <w:sz w:val="28"/>
          <w:szCs w:val="28"/>
          <w:lang w:eastAsia="en-US"/>
        </w:rPr>
      </w:pPr>
      <w:r>
        <w:rPr>
          <w:rFonts w:eastAsia="Calibri" w:eastAsiaTheme="minorHAnsi"/>
          <w:color w:val="000000"/>
          <w:sz w:val="28"/>
          <w:szCs w:val="28"/>
          <w:lang w:eastAsia="en-US"/>
        </w:rPr>
        <w:t xml:space="preserve">        </w:t>
      </w:r>
      <w:r>
        <w:rPr>
          <w:rFonts w:eastAsia="Calibri" w:eastAsiaTheme="minorHAnsi"/>
          <w:color w:val="000000"/>
          <w:sz w:val="28"/>
          <w:szCs w:val="28"/>
          <w:lang w:eastAsia="en-US"/>
        </w:rPr>
        <w:t>5.        Новиков В. П., Котов Г. Н. О состоянии ресурсов лося в тайге Нижнего Приобья // Бюл. МОИП. Отд. биол. 1990. Т. 95, вып. 3. С. 34-37.</w:t>
      </w:r>
    </w:p>
    <w:p>
      <w:pPr>
        <w:pStyle w:val="Normal"/>
        <w:rPr>
          <w:sz w:val="28"/>
          <w:szCs w:val="28"/>
        </w:rPr>
      </w:pPr>
      <w:r>
        <w:rPr>
          <w:sz w:val="28"/>
          <w:szCs w:val="28"/>
        </w:rPr>
        <w:t xml:space="preserve">        </w:t>
      </w:r>
      <w:r>
        <w:rPr>
          <w:sz w:val="28"/>
          <w:szCs w:val="28"/>
        </w:rPr>
        <w:t>6.</w:t>
        <w:tab/>
        <w:t>Глушков В.М. Управление популяциями лося: биологические предпосылки и практические возможности // «Управление популяциями диких копытных животных»: Сб. научных трудов ЦНИЛ Главохоты РСФСР. М., 1985. С. 5-13.</w:t>
      </w:r>
    </w:p>
    <w:p>
      <w:pPr>
        <w:pStyle w:val="Style28"/>
        <w:numPr>
          <w:ilvl w:val="0"/>
          <w:numId w:val="0"/>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7.</w:t>
        <w:tab/>
        <w:t>Сборник методических указаний по учетам охотничьих зверей и птиц (ХМАО-Югра, Управление по использованию рыбных и охотничьих ресурсов автономного округа, г. Ханты-Мансийск, 2006 г.).</w:t>
      </w:r>
    </w:p>
    <w:p>
      <w:pPr>
        <w:pStyle w:val="Style28"/>
        <w:numPr>
          <w:ilvl w:val="0"/>
          <w:numId w:val="0"/>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8.</w:t>
        <w:tab/>
        <w:t>Методические указания Главного управления охотничьего хозяйства при совете Министров РСФСР).</w:t>
      </w:r>
    </w:p>
    <w:p>
      <w:pPr>
        <w:pStyle w:val="Style28"/>
        <w:numPr>
          <w:ilvl w:val="0"/>
          <w:numId w:val="0"/>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w:t>
        <w:tab/>
        <w:t>Методические рекомендаций Государственной службы учета охотничьих ресурсов РСФСР Москва 1983 г.).</w:t>
      </w:r>
    </w:p>
    <w:p>
      <w:pPr>
        <w:pStyle w:val="Style28"/>
        <w:numPr>
          <w:ilvl w:val="0"/>
          <w:numId w:val="0"/>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w:t>
        <w:tab/>
        <w:t>Приказ Министерства природных ресурсов и экологии Российской Федерации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pPr>
        <w:pStyle w:val="Normal"/>
        <w:ind w:firstLine="708"/>
        <w:rPr>
          <w:sz w:val="28"/>
          <w:szCs w:val="28"/>
        </w:rPr>
      </w:pPr>
      <w:r>
        <w:rPr>
          <w:sz w:val="28"/>
          <w:szCs w:val="28"/>
        </w:rPr>
        <w:t>11.</w:t>
        <w:tab/>
        <w:t>Государственному контракту № 636К/13 от 11 сентября 2013 года, Тюменский гос. университет, 2014 год.</w:t>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sectPr>
      <w:footerReference w:type="default" r:id="rId13"/>
      <w:type w:val="nextPage"/>
      <w:pgSz w:w="11906" w:h="16838"/>
      <w:pgMar w:left="1418" w:right="567" w:header="0" w:top="1134"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8638616"/>
    </w:sdtPr>
    <w:sdtContent>
      <w:p>
        <w:pPr>
          <w:pStyle w:val="Style30"/>
          <w:jc w:val="center"/>
          <w:rPr/>
        </w:pPr>
        <w:r>
          <w:rPr/>
          <w:fldChar w:fldCharType="begin"/>
        </w:r>
        <w:r>
          <w:rPr/>
          <w:instrText> PAGE </w:instrText>
        </w:r>
        <w:r>
          <w:rPr/>
          <w:fldChar w:fldCharType="separate"/>
        </w:r>
        <w:r>
          <w:rPr/>
          <w:t>18</w:t>
        </w:r>
        <w:r>
          <w:rPr/>
          <w:fldChar w:fldCharType="end"/>
        </w:r>
      </w:p>
      <w:p>
        <w:pPr>
          <w:pStyle w:val="Normal"/>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6965676"/>
    </w:sdtPr>
    <w:sdtContent>
      <w:p>
        <w:pPr>
          <w:pStyle w:val="Style30"/>
          <w:jc w:val="center"/>
          <w:rPr/>
        </w:pPr>
        <w:r>
          <w:rPr/>
          <w:fldChar w:fldCharType="begin"/>
        </w:r>
        <w:r>
          <w:rPr/>
          <w:instrText> PAGE </w:instrText>
        </w:r>
        <w:r>
          <w:rPr/>
          <w:fldChar w:fldCharType="separate"/>
        </w:r>
        <w:r>
          <w:rPr/>
          <w:t>20</w:t>
        </w:r>
        <w:r>
          <w:rPr/>
          <w:fldChar w:fldCharType="end"/>
        </w:r>
      </w:p>
      <w:p>
        <w:pPr>
          <w:pStyle w:val="Style30"/>
          <w:jc w:val="cen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27953521"/>
    </w:sdtPr>
    <w:sdtContent>
      <w:p>
        <w:pPr>
          <w:pStyle w:val="Style30"/>
          <w:jc w:val="center"/>
          <w:rPr/>
        </w:pPr>
        <w:r>
          <w:rPr/>
          <w:fldChar w:fldCharType="begin"/>
        </w:r>
        <w:r>
          <w:rPr/>
          <w:instrText> PAGE </w:instrText>
        </w:r>
        <w:r>
          <w:rPr/>
          <w:fldChar w:fldCharType="separate"/>
        </w:r>
        <w:r>
          <w:rPr/>
          <w:t>21</w:t>
        </w:r>
        <w:r>
          <w:rPr/>
          <w:fldChar w:fldCharType="end"/>
        </w:r>
      </w:p>
      <w:p>
        <w:pPr>
          <w:pStyle w:val="Style30"/>
          <w:jc w:val="cen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4249897"/>
    </w:sdtPr>
    <w:sdtContent>
      <w:p>
        <w:pPr>
          <w:pStyle w:val="Style30"/>
          <w:jc w:val="center"/>
          <w:rPr/>
        </w:pPr>
        <w:r>
          <w:rPr/>
          <w:fldChar w:fldCharType="begin"/>
        </w:r>
        <w:r>
          <w:rPr/>
          <w:instrText> PAGE </w:instrText>
        </w:r>
        <w:r>
          <w:rPr/>
          <w:fldChar w:fldCharType="separate"/>
        </w:r>
        <w:r>
          <w:rPr/>
          <w:t>22</w:t>
        </w:r>
        <w:r>
          <w:rPr/>
          <w:fldChar w:fldCharType="end"/>
        </w:r>
      </w:p>
      <w:p>
        <w:pPr>
          <w:pStyle w:val="Style30"/>
          <w:jc w:val="cen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8570185"/>
    </w:sdtPr>
    <w:sdtContent>
      <w:p>
        <w:pPr>
          <w:pStyle w:val="Style30"/>
          <w:jc w:val="center"/>
          <w:rPr/>
        </w:pPr>
        <w:r>
          <w:rPr/>
          <w:fldChar w:fldCharType="begin"/>
        </w:r>
        <w:r>
          <w:rPr/>
          <w:instrText> PAGE </w:instrText>
        </w:r>
        <w:r>
          <w:rPr/>
          <w:fldChar w:fldCharType="separate"/>
        </w:r>
        <w:r>
          <w:rPr/>
          <w:t>23</w:t>
        </w:r>
        <w:r>
          <w:rPr/>
          <w:fldChar w:fldCharType="end"/>
        </w:r>
      </w:p>
      <w:p>
        <w:pPr>
          <w:pStyle w:val="Style30"/>
          <w:jc w:val="cen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6958"/>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4"/>
    <w:qFormat/>
    <w:rsid w:val="00176958"/>
    <w:rPr>
      <w:rFonts w:ascii="Times New Roman" w:hAnsi="Times New Roman" w:eastAsia="Times New Roman" w:cs="Times New Roman"/>
      <w:sz w:val="24"/>
      <w:szCs w:val="24"/>
      <w:lang w:eastAsia="ru-RU"/>
    </w:rPr>
  </w:style>
  <w:style w:type="character" w:styleId="Style15" w:customStyle="1">
    <w:name w:val="Список – Знак Знак"/>
    <w:link w:val="a"/>
    <w:qFormat/>
    <w:rsid w:val="005c3087"/>
    <w:rPr>
      <w:lang w:eastAsia="ru-RU"/>
    </w:rPr>
  </w:style>
  <w:style w:type="character" w:styleId="Style16" w:customStyle="1">
    <w:name w:val="Верхний колонтитул Знак"/>
    <w:basedOn w:val="DefaultParagraphFont"/>
    <w:link w:val="a8"/>
    <w:uiPriority w:val="99"/>
    <w:qFormat/>
    <w:rsid w:val="00d75621"/>
    <w:rPr>
      <w:rFonts w:ascii="Times New Roman" w:hAnsi="Times New Roman" w:eastAsia="Times New Roman" w:cs="Times New Roman"/>
      <w:sz w:val="24"/>
      <w:szCs w:val="24"/>
      <w:lang w:eastAsia="ru-RU"/>
    </w:rPr>
  </w:style>
  <w:style w:type="character" w:styleId="Style17" w:customStyle="1">
    <w:name w:val="Нижний колонтитул Знак"/>
    <w:basedOn w:val="DefaultParagraphFont"/>
    <w:link w:val="aa"/>
    <w:uiPriority w:val="99"/>
    <w:qFormat/>
    <w:rsid w:val="00d75621"/>
    <w:rPr>
      <w:rFonts w:ascii="Times New Roman" w:hAnsi="Times New Roman" w:eastAsia="Times New Roman" w:cs="Times New Roman"/>
      <w:sz w:val="24"/>
      <w:szCs w:val="24"/>
      <w:lang w:eastAsia="ru-RU"/>
    </w:rPr>
  </w:style>
  <w:style w:type="character" w:styleId="Style18" w:customStyle="1">
    <w:name w:val="Текст выноски Знак"/>
    <w:basedOn w:val="DefaultParagraphFont"/>
    <w:link w:val="ac"/>
    <w:uiPriority w:val="99"/>
    <w:semiHidden/>
    <w:qFormat/>
    <w:rsid w:val="001857f3"/>
    <w:rPr>
      <w:rFonts w:ascii="Segoe UI" w:hAnsi="Segoe UI" w:eastAsia="Times New Roman" w:cs="Segoe UI"/>
      <w:sz w:val="18"/>
      <w:szCs w:val="18"/>
      <w:lang w:eastAsia="ru-RU"/>
    </w:rPr>
  </w:style>
  <w:style w:type="character" w:styleId="Style19" w:customStyle="1">
    <w:name w:val="Название таблицы Знак"/>
    <w:link w:val="ae"/>
    <w:qFormat/>
    <w:rsid w:val="00ca7e10"/>
    <w:rPr>
      <w:rFonts w:ascii="Times New Roman" w:hAnsi="Times New Roman" w:eastAsia="Calibri" w:cs="Times New Roman"/>
      <w:b/>
      <w:iCs/>
      <w:szCs w:val="28"/>
      <w:lang w:eastAsia="ru-RU"/>
    </w:rPr>
  </w:style>
  <w:style w:type="character" w:styleId="2010" w:customStyle="1">
    <w:name w:val="обычный2010 Знак"/>
    <w:link w:val="2010"/>
    <w:qFormat/>
    <w:locked/>
    <w:rsid w:val="00372db6"/>
    <w:rPr>
      <w:rFonts w:ascii="Arial" w:hAnsi="Arial" w:eastAsia="Times New Roman" w:cs="Times New Roman"/>
      <w:lang w:eastAsia="ru-RU"/>
    </w:rPr>
  </w:style>
  <w:style w:type="character" w:styleId="Style20" w:customStyle="1">
    <w:name w:val="Название рисунка Знак"/>
    <w:link w:val="af0"/>
    <w:qFormat/>
    <w:locked/>
    <w:rsid w:val="00372db6"/>
    <w:rPr>
      <w:rFonts w:ascii="Times New Roman" w:hAnsi="Times New Roman" w:eastAsia="Times New Roman" w:cs="Times New Roman"/>
      <w:b/>
      <w:bCs/>
      <w:sz w:val="28"/>
      <w:szCs w:val="28"/>
      <w:lang w:eastAsia="ru-RU"/>
    </w:rPr>
  </w:style>
  <w:style w:type="character" w:styleId="2" w:customStyle="1">
    <w:name w:val="Основной текст (2)_"/>
    <w:basedOn w:val="DefaultParagraphFont"/>
    <w:link w:val="20"/>
    <w:qFormat/>
    <w:locked/>
    <w:rsid w:val="006e4475"/>
    <w:rPr>
      <w:rFonts w:ascii="Times New Roman" w:hAnsi="Times New Roman" w:eastAsia="Times New Roman" w:cs="Times New Roman"/>
      <w:sz w:val="21"/>
      <w:szCs w:val="21"/>
      <w:shd w:fill="FFFFFF" w:val="clear"/>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sz w:val="28"/>
      <w:szCs w:val="28"/>
    </w:rPr>
  </w:style>
  <w:style w:type="character" w:styleId="Style21">
    <w:name w:val="Интернет-ссылка"/>
    <w:rPr>
      <w:color w:val="000080"/>
      <w:u w:val="single"/>
      <w:lang w:val="zxx" w:eastAsia="zxx" w:bidi="zxx"/>
    </w:rPr>
  </w:style>
  <w:style w:type="character" w:styleId="ListLabel4">
    <w:name w:val="ListLabel 4"/>
    <w:qFormat/>
    <w:rPr>
      <w:rFonts w:cs="Times New Roman"/>
    </w:rPr>
  </w:style>
  <w:style w:type="character" w:styleId="ListLabel5">
    <w:name w:val="ListLabel 5"/>
    <w:qFormat/>
    <w:rPr>
      <w:sz w:val="28"/>
      <w:szCs w:val="28"/>
    </w:rPr>
  </w:style>
  <w:style w:type="character" w:styleId="ListLabel6">
    <w:name w:val="ListLabel 6"/>
    <w:qFormat/>
    <w:rPr>
      <w:rFonts w:cs="Times New Roman"/>
    </w:rPr>
  </w:style>
  <w:style w:type="character" w:styleId="ListLabel7">
    <w:name w:val="ListLabel 7"/>
    <w:qFormat/>
    <w:rPr>
      <w:sz w:val="28"/>
      <w:szCs w:val="28"/>
    </w:rPr>
  </w:style>
  <w:style w:type="character" w:styleId="ListLabel8">
    <w:name w:val="ListLabel 8"/>
    <w:qFormat/>
    <w:rPr>
      <w:rFonts w:cs="Times New Roman"/>
    </w:rPr>
  </w:style>
  <w:style w:type="character" w:styleId="ListLabel9">
    <w:name w:val="ListLabel 9"/>
    <w:qFormat/>
    <w:rPr>
      <w:sz w:val="28"/>
      <w:szCs w:val="28"/>
    </w:rPr>
  </w:style>
  <w:style w:type="character" w:styleId="ListLabel10">
    <w:name w:val="ListLabel 10"/>
    <w:qFormat/>
    <w:rPr>
      <w:rFonts w:cs="Times New Roman"/>
    </w:rPr>
  </w:style>
  <w:style w:type="character" w:styleId="ListLabel11">
    <w:name w:val="ListLabel 11"/>
    <w:qFormat/>
    <w:rPr>
      <w:sz w:val="28"/>
      <w:szCs w:val="28"/>
    </w:rPr>
  </w:style>
  <w:style w:type="character" w:styleId="ListLabel12">
    <w:name w:val="ListLabel 12"/>
    <w:qFormat/>
    <w:rPr>
      <w:rFonts w:cs="Times New Roman"/>
    </w:rPr>
  </w:style>
  <w:style w:type="character" w:styleId="ListLabel13">
    <w:name w:val="ListLabel 13"/>
    <w:qFormat/>
    <w:rPr>
      <w:sz w:val="28"/>
      <w:szCs w:val="28"/>
    </w:rPr>
  </w:style>
  <w:style w:type="character" w:styleId="ListLabel14">
    <w:name w:val="ListLabel 14"/>
    <w:qFormat/>
    <w:rPr>
      <w:rFonts w:cs="Times New Roman"/>
    </w:rPr>
  </w:style>
  <w:style w:type="character" w:styleId="ListLabel15">
    <w:name w:val="ListLabel 15"/>
    <w:qFormat/>
    <w:rPr>
      <w:sz w:val="28"/>
      <w:szCs w:val="28"/>
    </w:rPr>
  </w:style>
  <w:style w:type="character" w:styleId="ListLabel16">
    <w:name w:val="ListLabel 16"/>
    <w:qFormat/>
    <w:rPr>
      <w:rFonts w:cs="Times New Roman"/>
    </w:rPr>
  </w:style>
  <w:style w:type="character" w:styleId="ListLabel17">
    <w:name w:val="ListLabel 17"/>
    <w:qFormat/>
    <w:rPr>
      <w:sz w:val="28"/>
      <w:szCs w:val="28"/>
    </w:rPr>
  </w:style>
  <w:style w:type="character" w:styleId="ListLabel18">
    <w:name w:val="ListLabel 18"/>
    <w:qFormat/>
    <w:rPr>
      <w:rFonts w:cs="Times New Roman"/>
    </w:rPr>
  </w:style>
  <w:style w:type="character" w:styleId="ListLabel19">
    <w:name w:val="ListLabel 19"/>
    <w:qFormat/>
    <w:rPr>
      <w:sz w:val="28"/>
      <w:szCs w:val="28"/>
    </w:rPr>
  </w:style>
  <w:style w:type="character" w:styleId="ListLabel20">
    <w:name w:val="ListLabel 20"/>
    <w:qFormat/>
    <w:rPr>
      <w:rFonts w:cs="Times New Roman"/>
    </w:rPr>
  </w:style>
  <w:style w:type="character" w:styleId="ListLabel21">
    <w:name w:val="ListLabel 21"/>
    <w:qFormat/>
    <w:rPr>
      <w:sz w:val="28"/>
      <w:szCs w:val="28"/>
    </w:rPr>
  </w:style>
  <w:style w:type="character" w:styleId="ListLabel22">
    <w:name w:val="ListLabel 22"/>
    <w:qFormat/>
    <w:rPr>
      <w:rFonts w:cs="Times New Roman"/>
    </w:rPr>
  </w:style>
  <w:style w:type="character" w:styleId="ListLabel23">
    <w:name w:val="ListLabel 23"/>
    <w:qFormat/>
    <w:rPr>
      <w:sz w:val="28"/>
      <w:szCs w:val="28"/>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Style27">
    <w:name w:val="Body Text Indent"/>
    <w:basedOn w:val="Normal"/>
    <w:link w:val="a5"/>
    <w:rsid w:val="00176958"/>
    <w:pPr>
      <w:spacing w:before="0" w:after="120"/>
      <w:ind w:left="283" w:hanging="0"/>
    </w:pPr>
    <w:rPr/>
  </w:style>
  <w:style w:type="paragraph" w:styleId="ListParagraph">
    <w:name w:val="List Paragraph"/>
    <w:basedOn w:val="Normal"/>
    <w:uiPriority w:val="34"/>
    <w:qFormat/>
    <w:rsid w:val="00314050"/>
    <w:pPr>
      <w:spacing w:lineRule="auto" w:line="276"/>
      <w:ind w:left="708" w:hanging="0"/>
      <w:jc w:val="both"/>
    </w:pPr>
    <w:rPr>
      <w:sz w:val="28"/>
      <w:szCs w:val="28"/>
    </w:rPr>
  </w:style>
  <w:style w:type="paragraph" w:styleId="Style28" w:customStyle="1">
    <w:name w:val="Список – Знак"/>
    <w:basedOn w:val="Normal"/>
    <w:link w:val="a7"/>
    <w:qFormat/>
    <w:rsid w:val="005c3087"/>
    <w:pPr>
      <w:spacing w:lineRule="auto" w:line="276"/>
      <w:jc w:val="both"/>
    </w:pPr>
    <w:rPr>
      <w:rFonts w:ascii="Calibri" w:hAnsi="Calibri" w:eastAsia="Calibri" w:cs="" w:asciiTheme="minorHAnsi" w:cstheme="minorBidi" w:eastAsiaTheme="minorHAnsi" w:hAnsiTheme="minorHAnsi"/>
      <w:sz w:val="22"/>
      <w:szCs w:val="22"/>
    </w:rPr>
  </w:style>
  <w:style w:type="paragraph" w:styleId="Default" w:customStyle="1">
    <w:name w:val="Default"/>
    <w:qFormat/>
    <w:rsid w:val="004c749f"/>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9">
    <w:name w:val="Header"/>
    <w:basedOn w:val="Normal"/>
    <w:link w:val="a9"/>
    <w:uiPriority w:val="99"/>
    <w:unhideWhenUsed/>
    <w:rsid w:val="00d75621"/>
    <w:pPr>
      <w:tabs>
        <w:tab w:val="clear" w:pos="708"/>
        <w:tab w:val="center" w:pos="4677" w:leader="none"/>
        <w:tab w:val="right" w:pos="9355" w:leader="none"/>
      </w:tabs>
    </w:pPr>
    <w:rPr/>
  </w:style>
  <w:style w:type="paragraph" w:styleId="Style30">
    <w:name w:val="Footer"/>
    <w:basedOn w:val="Normal"/>
    <w:link w:val="ab"/>
    <w:uiPriority w:val="99"/>
    <w:unhideWhenUsed/>
    <w:rsid w:val="00d75621"/>
    <w:pPr>
      <w:tabs>
        <w:tab w:val="clear" w:pos="708"/>
        <w:tab w:val="center" w:pos="4677" w:leader="none"/>
        <w:tab w:val="right" w:pos="9355" w:leader="none"/>
      </w:tabs>
    </w:pPr>
    <w:rPr/>
  </w:style>
  <w:style w:type="paragraph" w:styleId="ConsPlusNormal" w:customStyle="1">
    <w:name w:val="ConsPlusNormal"/>
    <w:qFormat/>
    <w:rsid w:val="00866c96"/>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d"/>
    <w:uiPriority w:val="99"/>
    <w:semiHidden/>
    <w:unhideWhenUsed/>
    <w:qFormat/>
    <w:rsid w:val="001857f3"/>
    <w:pPr/>
    <w:rPr>
      <w:rFonts w:ascii="Segoe UI" w:hAnsi="Segoe UI" w:cs="Segoe UI"/>
      <w:sz w:val="18"/>
      <w:szCs w:val="18"/>
    </w:rPr>
  </w:style>
  <w:style w:type="paragraph" w:styleId="Style31" w:customStyle="1">
    <w:name w:val="Название таблицы"/>
    <w:basedOn w:val="Normal"/>
    <w:next w:val="Normal"/>
    <w:link w:val="af"/>
    <w:qFormat/>
    <w:rsid w:val="00ca7e10"/>
    <w:pPr>
      <w:keepNext w:val="true"/>
      <w:suppressAutoHyphens w:val="true"/>
      <w:spacing w:lineRule="auto" w:line="276" w:before="0" w:after="120"/>
      <w:jc w:val="both"/>
    </w:pPr>
    <w:rPr>
      <w:rFonts w:eastAsia="Calibri"/>
      <w:b/>
      <w:iCs/>
      <w:sz w:val="22"/>
      <w:szCs w:val="28"/>
    </w:rPr>
  </w:style>
  <w:style w:type="paragraph" w:styleId="Style32" w:customStyle="1">
    <w:name w:val="Название рисунка"/>
    <w:basedOn w:val="Normal"/>
    <w:next w:val="Normal"/>
    <w:link w:val="af1"/>
    <w:qFormat/>
    <w:rsid w:val="00372db6"/>
    <w:pPr>
      <w:spacing w:before="0" w:after="360"/>
      <w:jc w:val="center"/>
    </w:pPr>
    <w:rPr>
      <w:b/>
      <w:bCs/>
      <w:sz w:val="28"/>
      <w:szCs w:val="28"/>
    </w:rPr>
  </w:style>
  <w:style w:type="paragraph" w:styleId="20101" w:customStyle="1">
    <w:name w:val="обычный2010"/>
    <w:basedOn w:val="Normal"/>
    <w:link w:val="20100"/>
    <w:qFormat/>
    <w:rsid w:val="00372db6"/>
    <w:pPr>
      <w:spacing w:lineRule="auto" w:line="360"/>
      <w:ind w:firstLine="709"/>
      <w:jc w:val="both"/>
    </w:pPr>
    <w:rPr>
      <w:rFonts w:ascii="Arial" w:hAnsi="Arial"/>
      <w:sz w:val="22"/>
      <w:szCs w:val="22"/>
    </w:rPr>
  </w:style>
  <w:style w:type="paragraph" w:styleId="21" w:customStyle="1">
    <w:name w:val="Основной текст (2)"/>
    <w:basedOn w:val="Normal"/>
    <w:link w:val="2"/>
    <w:qFormat/>
    <w:rsid w:val="006e4475"/>
    <w:pPr>
      <w:widowControl w:val="false"/>
      <w:shd w:val="clear" w:color="auto" w:fill="FFFFFF"/>
      <w:spacing w:lineRule="auto" w:line="240" w:before="480" w:after="600"/>
      <w:jc w:val="right"/>
    </w:pPr>
    <w:rPr>
      <w:sz w:val="21"/>
      <w:szCs w:val="21"/>
      <w:lang w:eastAsia="en-US"/>
    </w:rPr>
  </w:style>
  <w:style w:type="paragraph" w:styleId="Style33">
    <w:name w:val="Содержимое врезки"/>
    <w:basedOn w:val="Normal"/>
    <w:qFormat/>
    <w:pPr/>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e04c27"/>
    <w:pPr>
      <w:spacing w:after="0" w:line="240" w:lineRule="auto"/>
    </w:pPr>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C17A822158B2CA79AE413816FA8F7BD57DE8D415F464F6200534F831916223AAFF74ECB3FB1FD2F26q7L" TargetMode="External"/><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chart" Target="charts/chart3.xml"/><Relationship Id="rId6" Type="http://schemas.openxmlformats.org/officeDocument/2006/relationships/chart" Target="charts/chart4.xml"/><Relationship Id="rId7" Type="http://schemas.openxmlformats.org/officeDocument/2006/relationships/chart" Target="charts/chart5.xml"/><Relationship Id="rId8" Type="http://schemas.openxmlformats.org/officeDocument/2006/relationships/chart" Target="charts/chart6.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Relationship Id="rId1" Type="http://schemas.openxmlformats.org/officeDocument/2006/relationships/package" Target="../embeddings/Microsoft_Excel_Worksheet6.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ndard"/>
        <c:varyColors val="0"/>
        <c:ser>
          <c:idx val="0"/>
          <c:order val="0"/>
          <c:tx>
            <c:strRef>
              <c:f>label 0</c:f>
              <c:strCache>
                <c:ptCount val="1"/>
                <c:pt idx="0">
                  <c:v>Лось</c:v>
                </c:pt>
              </c:strCache>
            </c:strRef>
          </c:tx>
          <c:spPr>
            <a:solidFill>
              <a:srgbClr val="000080"/>
            </a:solidFill>
            <a:ln w="12600">
              <a:solidFill>
                <a:srgbClr val="000080"/>
              </a:solidFill>
              <a:round/>
            </a:ln>
          </c:spPr>
          <c:marker>
            <c:symbol val="diamond"/>
            <c:size val="5"/>
            <c:spPr>
              <a:solidFill>
                <a:srgbClr val="000080"/>
              </a:solidFill>
            </c:spPr>
          </c:marker>
          <c:dLbls>
            <c:numFmt formatCode="General" sourceLinked="1"/>
            <c:txPr>
              <a:bodyPr/>
              <a:lstStyle/>
              <a:p>
                <a:pPr>
                  <a:defRPr b="1" sz="800" spc="-1" strike="noStrike">
                    <a:solidFill>
                      <a:srgbClr val="000000"/>
                    </a:solidFill>
                    <a:latin typeface="Arial Cyr"/>
                    <a:ea typeface="Arial Cyr"/>
                  </a:defRPr>
                </a:pPr>
              </a:p>
            </c:txPr>
            <c:dLblPos val="r"/>
            <c:showLegendKey val="0"/>
            <c:showVal val="0"/>
            <c:showCatName val="0"/>
            <c:showSerName val="0"/>
            <c:showPercent val="0"/>
            <c:showLeaderLines val="0"/>
          </c:dLbls>
          <c:cat>
            <c:strRef>
              <c:f>categories</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0</c:f>
              <c:numCache>
                <c:formatCode>General</c:formatCode>
                <c:ptCount val="12"/>
                <c:pt idx="0">
                  <c:v>20400</c:v>
                </c:pt>
                <c:pt idx="1">
                  <c:v>19100</c:v>
                </c:pt>
                <c:pt idx="2">
                  <c:v>16695</c:v>
                </c:pt>
                <c:pt idx="3">
                  <c:v>19086</c:v>
                </c:pt>
                <c:pt idx="4">
                  <c:v>18551</c:v>
                </c:pt>
                <c:pt idx="5">
                  <c:v>18346</c:v>
                </c:pt>
                <c:pt idx="6">
                  <c:v>19917</c:v>
                </c:pt>
                <c:pt idx="7">
                  <c:v>18392</c:v>
                </c:pt>
                <c:pt idx="8">
                  <c:v>20338</c:v>
                </c:pt>
                <c:pt idx="9">
                  <c:v>19278</c:v>
                </c:pt>
                <c:pt idx="10">
                  <c:v>17074</c:v>
                </c:pt>
                <c:pt idx="11">
                  <c:v>21206</c:v>
                </c:pt>
              </c:numCache>
            </c:numRef>
          </c:val>
          <c:smooth val="0"/>
        </c:ser>
        <c:hiLowLines>
          <c:spPr>
            <a:ln>
              <a:noFill/>
            </a:ln>
          </c:spPr>
        </c:hiLowLines>
        <c:marker val="1"/>
        <c:axId val="89246677"/>
        <c:axId val="41377184"/>
      </c:lineChart>
      <c:catAx>
        <c:axId val="89246677"/>
        <c:scaling>
          <c:orientation val="minMax"/>
        </c:scaling>
        <c:delete val="0"/>
        <c:axPos val="b"/>
        <c:title>
          <c:tx>
            <c:rich>
              <a:bodyPr rot="0"/>
              <a:lstStyle/>
              <a:p>
                <a:pPr>
                  <a:defRPr b="1" sz="800" spc="-1" strike="noStrike">
                    <a:solidFill>
                      <a:srgbClr val="000000"/>
                    </a:solidFill>
                    <a:latin typeface="Cambria"/>
                    <a:ea typeface="Cambria"/>
                  </a:defRPr>
                </a:pPr>
                <a:r>
                  <a:rPr b="1" sz="800" spc="-1" strike="noStrike">
                    <a:solidFill>
                      <a:srgbClr val="000000"/>
                    </a:solidFill>
                    <a:latin typeface="Cambria"/>
                    <a:ea typeface="Cambria"/>
                  </a:rPr>
                  <a:t>годы</a:t>
                </a:r>
              </a:p>
            </c:rich>
          </c:tx>
          <c:overlay val="0"/>
          <c:spPr>
            <a:noFill/>
            <a:ln w="25560">
              <a:noFill/>
            </a:ln>
          </c:spPr>
        </c:title>
        <c:numFmt formatCode="DD/MM/YYYY" sourceLinked="1"/>
        <c:majorTickMark val="out"/>
        <c:minorTickMark val="none"/>
        <c:tickLblPos val="nextTo"/>
        <c:spPr>
          <a:ln w="3240">
            <a:solidFill>
              <a:srgbClr val="000000"/>
            </a:solidFill>
            <a:round/>
          </a:ln>
        </c:spPr>
        <c:txPr>
          <a:bodyPr/>
          <a:lstStyle/>
          <a:p>
            <a:pPr>
              <a:defRPr b="1" sz="900" spc="-1" strike="noStrike">
                <a:solidFill>
                  <a:srgbClr val="000000"/>
                </a:solidFill>
                <a:latin typeface="Arial Cyr"/>
                <a:ea typeface="Arial Cyr"/>
              </a:defRPr>
            </a:pPr>
          </a:p>
        </c:txPr>
        <c:crossAx val="41377184"/>
        <c:crosses val="autoZero"/>
        <c:auto val="1"/>
        <c:lblAlgn val="ctr"/>
        <c:lblOffset val="100"/>
      </c:catAx>
      <c:valAx>
        <c:axId val="41377184"/>
        <c:scaling>
          <c:orientation val="minMax"/>
        </c:scaling>
        <c:delete val="0"/>
        <c:axPos val="l"/>
        <c:majorGridlines>
          <c:spPr>
            <a:ln w="12600">
              <a:solidFill>
                <a:srgbClr val="000000"/>
              </a:solidFill>
              <a:round/>
            </a:ln>
          </c:spPr>
        </c:majorGridlines>
        <c:title>
          <c:tx>
            <c:rich>
              <a:bodyPr rot="-5400000"/>
              <a:lstStyle/>
              <a:p>
                <a:pPr>
                  <a:defRPr b="1" sz="800" spc="-1" strike="noStrike">
                    <a:solidFill>
                      <a:srgbClr val="000000"/>
                    </a:solidFill>
                    <a:latin typeface="Calibri"/>
                    <a:ea typeface="Calibri"/>
                  </a:defRPr>
                </a:pPr>
                <a:r>
                  <a:rPr b="1" sz="800" spc="-1" strike="noStrike">
                    <a:solidFill>
                      <a:srgbClr val="000000"/>
                    </a:solidFill>
                    <a:latin typeface="Calibri"/>
                    <a:ea typeface="Calibri"/>
                  </a:rPr>
                  <a:t> шт.</a:t>
                </a:r>
              </a:p>
            </c:rich>
          </c:tx>
          <c:overlay val="0"/>
          <c:spPr>
            <a:noFill/>
            <a:ln w="25560">
              <a:noFill/>
            </a:ln>
          </c:spPr>
        </c:title>
        <c:numFmt formatCode="General" sourceLinked="0"/>
        <c:majorTickMark val="out"/>
        <c:minorTickMark val="none"/>
        <c:tickLblPos val="nextTo"/>
        <c:spPr>
          <a:ln w="3240">
            <a:solidFill>
              <a:srgbClr val="000000"/>
            </a:solidFill>
            <a:round/>
          </a:ln>
        </c:spPr>
        <c:txPr>
          <a:bodyPr/>
          <a:lstStyle/>
          <a:p>
            <a:pPr>
              <a:defRPr b="1" sz="800" spc="-1" strike="noStrike">
                <a:solidFill>
                  <a:srgbClr val="000000"/>
                </a:solidFill>
                <a:latin typeface="Times New Roman"/>
                <a:ea typeface="Times New Roman"/>
              </a:defRPr>
            </a:pPr>
          </a:p>
        </c:txPr>
        <c:crossAx val="89246677"/>
        <c:crosses val="autoZero"/>
        <c:crossBetween val="midCat"/>
      </c:valAx>
      <c:dTable>
        <c:showHorzBorder val="1"/>
        <c:showVertBorder val="1"/>
        <c:showOutline val="1"/>
      </c:dTable>
      <c:spPr>
        <a:noFill/>
        <a:ln w="25560">
          <a:noFill/>
        </a:ln>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ndard"/>
        <c:varyColors val="0"/>
        <c:ser>
          <c:idx val="0"/>
          <c:order val="0"/>
          <c:tx>
            <c:strRef>
              <c:f>label 0</c:f>
              <c:strCache>
                <c:ptCount val="1"/>
                <c:pt idx="0">
                  <c:v>Медведь</c:v>
                </c:pt>
              </c:strCache>
            </c:strRef>
          </c:tx>
          <c:spPr>
            <a:solidFill>
              <a:srgbClr val="000080"/>
            </a:solidFill>
            <a:ln w="12600">
              <a:solidFill>
                <a:srgbClr val="000080"/>
              </a:solidFill>
              <a:round/>
            </a:ln>
          </c:spPr>
          <c:marker>
            <c:symbol val="diamond"/>
            <c:size val="5"/>
            <c:spPr>
              <a:solidFill>
                <a:srgbClr val="000080"/>
              </a:solidFill>
            </c:spPr>
          </c:marker>
          <c:dLbls>
            <c:numFmt formatCode="General" sourceLinked="1"/>
            <c:txPr>
              <a:bodyPr/>
              <a:lstStyle/>
              <a:p>
                <a:pPr>
                  <a:defRPr b="1" sz="800" spc="-1" strike="noStrike">
                    <a:solidFill>
                      <a:srgbClr val="000000"/>
                    </a:solidFill>
                    <a:latin typeface="Arial Cyr"/>
                    <a:ea typeface="Arial Cyr"/>
                  </a:defRPr>
                </a:pPr>
              </a:p>
            </c:txPr>
            <c:dLblPos val="r"/>
            <c:showLegendKey val="0"/>
            <c:showVal val="0"/>
            <c:showCatName val="0"/>
            <c:showSerName val="0"/>
            <c:showPercent val="0"/>
            <c:showLeaderLines val="0"/>
          </c:dLbls>
          <c:cat>
            <c:strRef>
              <c:f>categories</c:f>
              <c:strCache>
                <c:ptCount val="12"/>
                <c:pt idx="0">
                  <c:v>2007-2008</c:v>
                </c:pt>
                <c:pt idx="1">
                  <c:v>2008-2009</c:v>
                </c:pt>
                <c:pt idx="2">
                  <c:v>2009-2010</c:v>
                </c:pt>
                <c:pt idx="3">
                  <c:v>2010-2011</c:v>
                </c:pt>
                <c:pt idx="4">
                  <c:v>2011-2012</c:v>
                </c:pt>
                <c:pt idx="5">
                  <c:v>2012-2013</c:v>
                </c:pt>
                <c:pt idx="6">
                  <c:v>2013-2014</c:v>
                </c:pt>
                <c:pt idx="7">
                  <c:v>2014-2015</c:v>
                </c:pt>
                <c:pt idx="8">
                  <c:v>2015-2016</c:v>
                </c:pt>
                <c:pt idx="9">
                  <c:v>2016-2017</c:v>
                </c:pt>
                <c:pt idx="10">
                  <c:v>2017-2018</c:v>
                </c:pt>
                <c:pt idx="11">
                  <c:v>2018-2019</c:v>
                </c:pt>
              </c:strCache>
            </c:strRef>
          </c:cat>
          <c:val>
            <c:numRef>
              <c:f>0</c:f>
              <c:numCache>
                <c:formatCode>General</c:formatCode>
                <c:ptCount val="12"/>
                <c:pt idx="0">
                  <c:v>4290</c:v>
                </c:pt>
                <c:pt idx="1">
                  <c:v>4140</c:v>
                </c:pt>
                <c:pt idx="2">
                  <c:v>4630</c:v>
                </c:pt>
                <c:pt idx="3">
                  <c:v>5360</c:v>
                </c:pt>
                <c:pt idx="4">
                  <c:v>6009</c:v>
                </c:pt>
                <c:pt idx="5">
                  <c:v>7378</c:v>
                </c:pt>
                <c:pt idx="6">
                  <c:v>6444</c:v>
                </c:pt>
                <c:pt idx="7">
                  <c:v>6002</c:v>
                </c:pt>
                <c:pt idx="8">
                  <c:v>6492</c:v>
                </c:pt>
                <c:pt idx="9">
                  <c:v>7136</c:v>
                </c:pt>
                <c:pt idx="10">
                  <c:v>6405</c:v>
                </c:pt>
                <c:pt idx="11">
                  <c:v>6296</c:v>
                </c:pt>
              </c:numCache>
            </c:numRef>
          </c:val>
          <c:smooth val="0"/>
        </c:ser>
        <c:hiLowLines>
          <c:spPr>
            <a:ln>
              <a:noFill/>
            </a:ln>
          </c:spPr>
        </c:hiLowLines>
        <c:marker val="1"/>
        <c:axId val="29744154"/>
        <c:axId val="98184678"/>
      </c:lineChart>
      <c:catAx>
        <c:axId val="29744154"/>
        <c:scaling>
          <c:orientation val="minMax"/>
        </c:scaling>
        <c:delete val="0"/>
        <c:axPos val="b"/>
        <c:title>
          <c:tx>
            <c:rich>
              <a:bodyPr rot="0"/>
              <a:lstStyle/>
              <a:p>
                <a:pPr>
                  <a:defRPr b="1" sz="800" spc="-1" strike="noStrike">
                    <a:solidFill>
                      <a:srgbClr val="000000"/>
                    </a:solidFill>
                    <a:latin typeface="Cambria"/>
                    <a:ea typeface="Cambria"/>
                  </a:defRPr>
                </a:pPr>
                <a:r>
                  <a:rPr b="1" sz="800" spc="-1" strike="noStrike">
                    <a:solidFill>
                      <a:srgbClr val="000000"/>
                    </a:solidFill>
                    <a:latin typeface="Cambria"/>
                    <a:ea typeface="Cambria"/>
                  </a:rPr>
                  <a:t>годы</a:t>
                </a:r>
              </a:p>
            </c:rich>
          </c:tx>
          <c:overlay val="0"/>
          <c:spPr>
            <a:noFill/>
            <a:ln w="25560">
              <a:noFill/>
            </a:ln>
          </c:spPr>
        </c:title>
        <c:numFmt formatCode="DD/MM/YYYY" sourceLinked="1"/>
        <c:majorTickMark val="out"/>
        <c:minorTickMark val="none"/>
        <c:tickLblPos val="nextTo"/>
        <c:spPr>
          <a:ln w="3240">
            <a:solidFill>
              <a:srgbClr val="000000"/>
            </a:solidFill>
            <a:round/>
          </a:ln>
        </c:spPr>
        <c:txPr>
          <a:bodyPr/>
          <a:lstStyle/>
          <a:p>
            <a:pPr>
              <a:defRPr b="1" sz="900" spc="-1" strike="noStrike">
                <a:solidFill>
                  <a:srgbClr val="000000"/>
                </a:solidFill>
                <a:latin typeface="Arial Cyr"/>
                <a:ea typeface="Arial Cyr"/>
              </a:defRPr>
            </a:pPr>
          </a:p>
        </c:txPr>
        <c:crossAx val="98184678"/>
        <c:crosses val="autoZero"/>
        <c:auto val="1"/>
        <c:lblAlgn val="ctr"/>
        <c:lblOffset val="100"/>
      </c:catAx>
      <c:valAx>
        <c:axId val="98184678"/>
        <c:scaling>
          <c:orientation val="minMax"/>
        </c:scaling>
        <c:delete val="0"/>
        <c:axPos val="l"/>
        <c:majorGridlines>
          <c:spPr>
            <a:ln w="12600">
              <a:solidFill>
                <a:srgbClr val="000000"/>
              </a:solidFill>
              <a:round/>
            </a:ln>
          </c:spPr>
        </c:majorGridlines>
        <c:title>
          <c:tx>
            <c:rich>
              <a:bodyPr rot="-5400000"/>
              <a:lstStyle/>
              <a:p>
                <a:pPr>
                  <a:defRPr b="1" sz="800" spc="-1" strike="noStrike">
                    <a:solidFill>
                      <a:srgbClr val="000000"/>
                    </a:solidFill>
                    <a:latin typeface="Calibri"/>
                    <a:ea typeface="Calibri"/>
                  </a:defRPr>
                </a:pPr>
                <a:r>
                  <a:rPr b="1" sz="800" spc="-1" strike="noStrike">
                    <a:solidFill>
                      <a:srgbClr val="000000"/>
                    </a:solidFill>
                    <a:latin typeface="Calibri"/>
                    <a:ea typeface="Calibri"/>
                  </a:rPr>
                  <a:t> шт.</a:t>
                </a:r>
              </a:p>
            </c:rich>
          </c:tx>
          <c:overlay val="0"/>
          <c:spPr>
            <a:noFill/>
            <a:ln w="25560">
              <a:noFill/>
            </a:ln>
          </c:spPr>
        </c:title>
        <c:numFmt formatCode="General" sourceLinked="0"/>
        <c:majorTickMark val="out"/>
        <c:minorTickMark val="none"/>
        <c:tickLblPos val="nextTo"/>
        <c:spPr>
          <a:ln w="3240">
            <a:solidFill>
              <a:srgbClr val="000000"/>
            </a:solidFill>
            <a:round/>
          </a:ln>
        </c:spPr>
        <c:txPr>
          <a:bodyPr/>
          <a:lstStyle/>
          <a:p>
            <a:pPr>
              <a:defRPr b="1" sz="800" spc="-1" strike="noStrike">
                <a:solidFill>
                  <a:srgbClr val="000000"/>
                </a:solidFill>
                <a:latin typeface="Times New Roman"/>
                <a:ea typeface="Times New Roman"/>
              </a:defRPr>
            </a:pPr>
          </a:p>
        </c:txPr>
        <c:crossAx val="29744154"/>
        <c:crosses val="autoZero"/>
        <c:crossBetween val="midCat"/>
      </c:valAx>
      <c:dTable>
        <c:showHorzBorder val="1"/>
        <c:showVertBorder val="1"/>
        <c:showOutline val="1"/>
      </c:dTable>
      <c:spPr>
        <a:noFill/>
        <a:ln w="25560">
          <a:noFill/>
        </a:ln>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ndard"/>
        <c:varyColors val="0"/>
        <c:ser>
          <c:idx val="0"/>
          <c:order val="0"/>
          <c:tx>
            <c:strRef>
              <c:f>label 0</c:f>
              <c:strCache>
                <c:ptCount val="1"/>
                <c:pt idx="0">
                  <c:v>Выдра</c:v>
                </c:pt>
              </c:strCache>
            </c:strRef>
          </c:tx>
          <c:spPr>
            <a:solidFill>
              <a:srgbClr val="000080"/>
            </a:solidFill>
            <a:ln w="12600">
              <a:solidFill>
                <a:srgbClr val="000080"/>
              </a:solidFill>
              <a:round/>
            </a:ln>
          </c:spPr>
          <c:marker>
            <c:symbol val="diamond"/>
            <c:size val="5"/>
            <c:spPr>
              <a:solidFill>
                <a:srgbClr val="000080"/>
              </a:solidFill>
            </c:spPr>
          </c:marker>
          <c:dLbls>
            <c:numFmt formatCode="General" sourceLinked="1"/>
            <c:txPr>
              <a:bodyPr/>
              <a:lstStyle/>
              <a:p>
                <a:pPr>
                  <a:defRPr b="1" sz="800" spc="-1" strike="noStrike">
                    <a:solidFill>
                      <a:srgbClr val="000000"/>
                    </a:solidFill>
                    <a:latin typeface="Arial Cyr"/>
                    <a:ea typeface="Arial Cyr"/>
                  </a:defRPr>
                </a:pPr>
              </a:p>
            </c:txPr>
            <c:dLblPos val="r"/>
            <c:showLegendKey val="0"/>
            <c:showVal val="0"/>
            <c:showCatName val="0"/>
            <c:showSerName val="0"/>
            <c:showPercent val="0"/>
            <c:showLeaderLines val="0"/>
          </c:dLbls>
          <c:cat>
            <c:strRef>
              <c:f>categories</c:f>
              <c:strCache>
                <c:ptCount val="12"/>
                <c:pt idx="0">
                  <c:v>2007-2008</c:v>
                </c:pt>
                <c:pt idx="1">
                  <c:v>2008-2009</c:v>
                </c:pt>
                <c:pt idx="2">
                  <c:v>2009-2010</c:v>
                </c:pt>
                <c:pt idx="3">
                  <c:v>2010-2011</c:v>
                </c:pt>
                <c:pt idx="4">
                  <c:v>2011-2012</c:v>
                </c:pt>
                <c:pt idx="5">
                  <c:v>2012-2013</c:v>
                </c:pt>
                <c:pt idx="6">
                  <c:v>2013-2014</c:v>
                </c:pt>
                <c:pt idx="7">
                  <c:v>2014-2015</c:v>
                </c:pt>
                <c:pt idx="8">
                  <c:v>2015-2016</c:v>
                </c:pt>
                <c:pt idx="9">
                  <c:v>2016-2017</c:v>
                </c:pt>
                <c:pt idx="10">
                  <c:v>2017-2018</c:v>
                </c:pt>
                <c:pt idx="11">
                  <c:v>2018-2019</c:v>
                </c:pt>
              </c:strCache>
            </c:strRef>
          </c:cat>
          <c:val>
            <c:numRef>
              <c:f>0</c:f>
              <c:numCache>
                <c:formatCode>General</c:formatCode>
                <c:ptCount val="12"/>
                <c:pt idx="0">
                  <c:v>3860</c:v>
                </c:pt>
                <c:pt idx="1">
                  <c:v>3850</c:v>
                </c:pt>
                <c:pt idx="2">
                  <c:v>4400</c:v>
                </c:pt>
                <c:pt idx="3">
                  <c:v>1514</c:v>
                </c:pt>
                <c:pt idx="4">
                  <c:v>1643</c:v>
                </c:pt>
                <c:pt idx="5">
                  <c:v>1301</c:v>
                </c:pt>
                <c:pt idx="6">
                  <c:v>650</c:v>
                </c:pt>
                <c:pt idx="7">
                  <c:v>2003</c:v>
                </c:pt>
                <c:pt idx="8">
                  <c:v>2124</c:v>
                </c:pt>
                <c:pt idx="9">
                  <c:v>3805</c:v>
                </c:pt>
                <c:pt idx="10">
                  <c:v>3220</c:v>
                </c:pt>
                <c:pt idx="11">
                  <c:v>3356</c:v>
                </c:pt>
              </c:numCache>
            </c:numRef>
          </c:val>
          <c:smooth val="0"/>
        </c:ser>
        <c:hiLowLines>
          <c:spPr>
            <a:ln>
              <a:noFill/>
            </a:ln>
          </c:spPr>
        </c:hiLowLines>
        <c:marker val="1"/>
        <c:axId val="68355625"/>
        <c:axId val="41437475"/>
      </c:lineChart>
      <c:catAx>
        <c:axId val="68355625"/>
        <c:scaling>
          <c:orientation val="minMax"/>
        </c:scaling>
        <c:delete val="0"/>
        <c:axPos val="b"/>
        <c:title>
          <c:tx>
            <c:rich>
              <a:bodyPr rot="0"/>
              <a:lstStyle/>
              <a:p>
                <a:pPr>
                  <a:defRPr b="1" sz="800" spc="-1" strike="noStrike">
                    <a:solidFill>
                      <a:srgbClr val="000000"/>
                    </a:solidFill>
                    <a:latin typeface="Cambria"/>
                    <a:ea typeface="Cambria"/>
                  </a:defRPr>
                </a:pPr>
                <a:r>
                  <a:rPr b="1" sz="800" spc="-1" strike="noStrike">
                    <a:solidFill>
                      <a:srgbClr val="000000"/>
                    </a:solidFill>
                    <a:latin typeface="Cambria"/>
                    <a:ea typeface="Cambria"/>
                  </a:rPr>
                  <a:t>годы</a:t>
                </a:r>
              </a:p>
            </c:rich>
          </c:tx>
          <c:overlay val="0"/>
          <c:spPr>
            <a:noFill/>
            <a:ln w="25560">
              <a:noFill/>
            </a:ln>
          </c:spPr>
        </c:title>
        <c:numFmt formatCode="DD/MM/YYYY" sourceLinked="1"/>
        <c:majorTickMark val="out"/>
        <c:minorTickMark val="none"/>
        <c:tickLblPos val="nextTo"/>
        <c:spPr>
          <a:ln w="3240">
            <a:solidFill>
              <a:srgbClr val="000000"/>
            </a:solidFill>
            <a:round/>
          </a:ln>
        </c:spPr>
        <c:txPr>
          <a:bodyPr/>
          <a:lstStyle/>
          <a:p>
            <a:pPr>
              <a:defRPr b="1" sz="900" spc="-1" strike="noStrike">
                <a:solidFill>
                  <a:srgbClr val="000000"/>
                </a:solidFill>
                <a:latin typeface="Arial Cyr"/>
                <a:ea typeface="Arial Cyr"/>
              </a:defRPr>
            </a:pPr>
          </a:p>
        </c:txPr>
        <c:crossAx val="41437475"/>
        <c:crosses val="autoZero"/>
        <c:auto val="1"/>
        <c:lblAlgn val="ctr"/>
        <c:lblOffset val="100"/>
      </c:catAx>
      <c:valAx>
        <c:axId val="41437475"/>
        <c:scaling>
          <c:orientation val="minMax"/>
        </c:scaling>
        <c:delete val="0"/>
        <c:axPos val="l"/>
        <c:majorGridlines>
          <c:spPr>
            <a:ln w="12600">
              <a:solidFill>
                <a:srgbClr val="000000"/>
              </a:solidFill>
              <a:round/>
            </a:ln>
          </c:spPr>
        </c:majorGridlines>
        <c:title>
          <c:tx>
            <c:rich>
              <a:bodyPr rot="-5400000"/>
              <a:lstStyle/>
              <a:p>
                <a:pPr>
                  <a:defRPr b="1" sz="800" spc="-1" strike="noStrike">
                    <a:solidFill>
                      <a:srgbClr val="000000"/>
                    </a:solidFill>
                    <a:latin typeface="Calibri"/>
                    <a:ea typeface="Calibri"/>
                  </a:defRPr>
                </a:pPr>
                <a:r>
                  <a:rPr b="1" sz="800" spc="-1" strike="noStrike">
                    <a:solidFill>
                      <a:srgbClr val="000000"/>
                    </a:solidFill>
                    <a:latin typeface="Calibri"/>
                    <a:ea typeface="Calibri"/>
                  </a:rPr>
                  <a:t> шт.</a:t>
                </a:r>
              </a:p>
            </c:rich>
          </c:tx>
          <c:overlay val="0"/>
          <c:spPr>
            <a:noFill/>
            <a:ln w="25560">
              <a:noFill/>
            </a:ln>
          </c:spPr>
        </c:title>
        <c:numFmt formatCode="General" sourceLinked="0"/>
        <c:majorTickMark val="out"/>
        <c:minorTickMark val="none"/>
        <c:tickLblPos val="nextTo"/>
        <c:spPr>
          <a:ln w="3240">
            <a:solidFill>
              <a:srgbClr val="000000"/>
            </a:solidFill>
            <a:round/>
          </a:ln>
        </c:spPr>
        <c:txPr>
          <a:bodyPr/>
          <a:lstStyle/>
          <a:p>
            <a:pPr>
              <a:defRPr b="1" sz="800" spc="-1" strike="noStrike">
                <a:solidFill>
                  <a:srgbClr val="000000"/>
                </a:solidFill>
                <a:latin typeface="Times New Roman"/>
                <a:ea typeface="Times New Roman"/>
              </a:defRPr>
            </a:pPr>
          </a:p>
        </c:txPr>
        <c:crossAx val="68355625"/>
        <c:crosses val="autoZero"/>
        <c:crossBetween val="midCat"/>
      </c:valAx>
      <c:dTable>
        <c:showHorzBorder val="1"/>
        <c:showVertBorder val="1"/>
        <c:showOutline val="1"/>
      </c:dTable>
      <c:spPr>
        <a:noFill/>
        <a:ln w="25560">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ndard"/>
        <c:varyColors val="0"/>
        <c:ser>
          <c:idx val="0"/>
          <c:order val="0"/>
          <c:tx>
            <c:strRef>
              <c:f>label 0</c:f>
              <c:strCache>
                <c:ptCount val="1"/>
                <c:pt idx="0">
                  <c:v>Барсук</c:v>
                </c:pt>
              </c:strCache>
            </c:strRef>
          </c:tx>
          <c:spPr>
            <a:solidFill>
              <a:srgbClr val="000080"/>
            </a:solidFill>
            <a:ln w="12600">
              <a:solidFill>
                <a:srgbClr val="000080"/>
              </a:solidFill>
              <a:round/>
            </a:ln>
          </c:spPr>
          <c:marker>
            <c:symbol val="diamond"/>
            <c:size val="5"/>
            <c:spPr>
              <a:solidFill>
                <a:srgbClr val="000080"/>
              </a:solidFill>
            </c:spPr>
          </c:marker>
          <c:dLbls>
            <c:numFmt formatCode="General" sourceLinked="1"/>
            <c:txPr>
              <a:bodyPr/>
              <a:lstStyle/>
              <a:p>
                <a:pPr>
                  <a:defRPr b="1" sz="800" spc="-1" strike="noStrike">
                    <a:solidFill>
                      <a:srgbClr val="000000"/>
                    </a:solidFill>
                    <a:latin typeface="Arial Cyr"/>
                    <a:ea typeface="Arial Cyr"/>
                  </a:defRPr>
                </a:pPr>
              </a:p>
            </c:txPr>
            <c:dLblPos val="r"/>
            <c:showLegendKey val="0"/>
            <c:showVal val="0"/>
            <c:showCatName val="0"/>
            <c:showSerName val="0"/>
            <c:showPercent val="0"/>
            <c:showLeaderLines val="0"/>
          </c:dLbls>
          <c:cat>
            <c:strRef>
              <c:f>categories</c:f>
              <c:strCache>
                <c:ptCount val="12"/>
                <c:pt idx="0">
                  <c:v>2007-2008</c:v>
                </c:pt>
                <c:pt idx="1">
                  <c:v>2008-2009</c:v>
                </c:pt>
                <c:pt idx="2">
                  <c:v>2009-2010</c:v>
                </c:pt>
                <c:pt idx="3">
                  <c:v>2010-2011</c:v>
                </c:pt>
                <c:pt idx="4">
                  <c:v>2011-2012</c:v>
                </c:pt>
                <c:pt idx="5">
                  <c:v>2012-2013</c:v>
                </c:pt>
                <c:pt idx="6">
                  <c:v>2013-2014</c:v>
                </c:pt>
                <c:pt idx="7">
                  <c:v>2014-2015</c:v>
                </c:pt>
                <c:pt idx="8">
                  <c:v>2015-2016</c:v>
                </c:pt>
                <c:pt idx="9">
                  <c:v>2016-2017</c:v>
                </c:pt>
                <c:pt idx="10">
                  <c:v>2017-2018</c:v>
                </c:pt>
                <c:pt idx="11">
                  <c:v>2018-2019</c:v>
                </c:pt>
              </c:strCache>
            </c:strRef>
          </c:cat>
          <c:val>
            <c:numRef>
              <c:f>0</c:f>
              <c:numCache>
                <c:formatCode>General</c:formatCode>
                <c:ptCount val="12"/>
                <c:pt idx="0">
                  <c:v>9060</c:v>
                </c:pt>
                <c:pt idx="1">
                  <c:v>9160</c:v>
                </c:pt>
                <c:pt idx="2">
                  <c:v>8390</c:v>
                </c:pt>
                <c:pt idx="3">
                  <c:v>5775</c:v>
                </c:pt>
                <c:pt idx="4">
                  <c:v>8471</c:v>
                </c:pt>
                <c:pt idx="5">
                  <c:v>8176</c:v>
                </c:pt>
                <c:pt idx="6">
                  <c:v>1873</c:v>
                </c:pt>
                <c:pt idx="7">
                  <c:v>4117</c:v>
                </c:pt>
                <c:pt idx="8">
                  <c:v>4739</c:v>
                </c:pt>
                <c:pt idx="9">
                  <c:v>5025</c:v>
                </c:pt>
                <c:pt idx="10">
                  <c:v>4374</c:v>
                </c:pt>
                <c:pt idx="11">
                  <c:v>2541</c:v>
                </c:pt>
              </c:numCache>
            </c:numRef>
          </c:val>
          <c:smooth val="0"/>
        </c:ser>
        <c:hiLowLines>
          <c:spPr>
            <a:ln>
              <a:noFill/>
            </a:ln>
          </c:spPr>
        </c:hiLowLines>
        <c:marker val="1"/>
        <c:axId val="27117759"/>
        <c:axId val="87556081"/>
      </c:lineChart>
      <c:catAx>
        <c:axId val="27117759"/>
        <c:scaling>
          <c:orientation val="minMax"/>
        </c:scaling>
        <c:delete val="0"/>
        <c:axPos val="b"/>
        <c:title>
          <c:tx>
            <c:rich>
              <a:bodyPr rot="0"/>
              <a:lstStyle/>
              <a:p>
                <a:pPr>
                  <a:defRPr b="1" sz="800" spc="-1" strike="noStrike">
                    <a:solidFill>
                      <a:srgbClr val="000000"/>
                    </a:solidFill>
                    <a:latin typeface="Cambria"/>
                    <a:ea typeface="Cambria"/>
                  </a:defRPr>
                </a:pPr>
                <a:r>
                  <a:rPr b="1" sz="800" spc="-1" strike="noStrike">
                    <a:solidFill>
                      <a:srgbClr val="000000"/>
                    </a:solidFill>
                    <a:latin typeface="Cambria"/>
                    <a:ea typeface="Cambria"/>
                  </a:rPr>
                  <a:t>годы</a:t>
                </a:r>
              </a:p>
            </c:rich>
          </c:tx>
          <c:overlay val="0"/>
          <c:spPr>
            <a:noFill/>
            <a:ln w="25560">
              <a:noFill/>
            </a:ln>
          </c:spPr>
        </c:title>
        <c:numFmt formatCode="DD/MM/YYYY" sourceLinked="1"/>
        <c:majorTickMark val="out"/>
        <c:minorTickMark val="none"/>
        <c:tickLblPos val="nextTo"/>
        <c:spPr>
          <a:ln w="3240">
            <a:solidFill>
              <a:srgbClr val="000000"/>
            </a:solidFill>
            <a:round/>
          </a:ln>
        </c:spPr>
        <c:txPr>
          <a:bodyPr/>
          <a:lstStyle/>
          <a:p>
            <a:pPr>
              <a:defRPr b="1" sz="900" spc="-1" strike="noStrike">
                <a:solidFill>
                  <a:srgbClr val="000000"/>
                </a:solidFill>
                <a:latin typeface="Arial Cyr"/>
                <a:ea typeface="Arial Cyr"/>
              </a:defRPr>
            </a:pPr>
          </a:p>
        </c:txPr>
        <c:crossAx val="87556081"/>
        <c:crosses val="autoZero"/>
        <c:auto val="1"/>
        <c:lblAlgn val="ctr"/>
        <c:lblOffset val="100"/>
      </c:catAx>
      <c:valAx>
        <c:axId val="87556081"/>
        <c:scaling>
          <c:orientation val="minMax"/>
        </c:scaling>
        <c:delete val="0"/>
        <c:axPos val="l"/>
        <c:majorGridlines>
          <c:spPr>
            <a:ln w="12600">
              <a:solidFill>
                <a:srgbClr val="000000"/>
              </a:solidFill>
              <a:round/>
            </a:ln>
          </c:spPr>
        </c:majorGridlines>
        <c:title>
          <c:tx>
            <c:rich>
              <a:bodyPr rot="-5400000"/>
              <a:lstStyle/>
              <a:p>
                <a:pPr>
                  <a:defRPr b="1" sz="800" spc="-1" strike="noStrike">
                    <a:solidFill>
                      <a:srgbClr val="000000"/>
                    </a:solidFill>
                    <a:latin typeface="Calibri"/>
                    <a:ea typeface="Calibri"/>
                  </a:defRPr>
                </a:pPr>
                <a:r>
                  <a:rPr b="1" sz="800" spc="-1" strike="noStrike">
                    <a:solidFill>
                      <a:srgbClr val="000000"/>
                    </a:solidFill>
                    <a:latin typeface="Calibri"/>
                    <a:ea typeface="Calibri"/>
                  </a:rPr>
                  <a:t> шт.</a:t>
                </a:r>
              </a:p>
            </c:rich>
          </c:tx>
          <c:overlay val="0"/>
          <c:spPr>
            <a:noFill/>
            <a:ln w="25560">
              <a:noFill/>
            </a:ln>
          </c:spPr>
        </c:title>
        <c:numFmt formatCode="General" sourceLinked="0"/>
        <c:majorTickMark val="out"/>
        <c:minorTickMark val="none"/>
        <c:tickLblPos val="nextTo"/>
        <c:spPr>
          <a:ln w="3240">
            <a:solidFill>
              <a:srgbClr val="000000"/>
            </a:solidFill>
            <a:round/>
          </a:ln>
        </c:spPr>
        <c:txPr>
          <a:bodyPr/>
          <a:lstStyle/>
          <a:p>
            <a:pPr>
              <a:defRPr b="1" sz="800" spc="-1" strike="noStrike">
                <a:solidFill>
                  <a:srgbClr val="000000"/>
                </a:solidFill>
                <a:latin typeface="Times New Roman"/>
                <a:ea typeface="Times New Roman"/>
              </a:defRPr>
            </a:pPr>
          </a:p>
        </c:txPr>
        <c:crossAx val="27117759"/>
        <c:crosses val="autoZero"/>
        <c:crossBetween val="midCat"/>
      </c:valAx>
      <c:dTable>
        <c:showHorzBorder val="1"/>
        <c:showVertBorder val="1"/>
        <c:showOutline val="1"/>
      </c:dTable>
      <c:spPr>
        <a:noFill/>
        <a:ln w="25560">
          <a:noFill/>
        </a:ln>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ndard"/>
        <c:varyColors val="0"/>
        <c:ser>
          <c:idx val="0"/>
          <c:order val="0"/>
          <c:tx>
            <c:strRef>
              <c:f>label 0</c:f>
              <c:strCache>
                <c:ptCount val="1"/>
                <c:pt idx="0">
                  <c:v>Соболь</c:v>
                </c:pt>
              </c:strCache>
            </c:strRef>
          </c:tx>
          <c:spPr>
            <a:solidFill>
              <a:srgbClr val="000080"/>
            </a:solidFill>
            <a:ln w="12600">
              <a:solidFill>
                <a:srgbClr val="000080"/>
              </a:solidFill>
              <a:round/>
            </a:ln>
          </c:spPr>
          <c:marker>
            <c:symbol val="diamond"/>
            <c:size val="4"/>
            <c:spPr>
              <a:solidFill>
                <a:srgbClr val="000080"/>
              </a:solidFill>
            </c:spPr>
          </c:marker>
          <c:dLbls>
            <c:numFmt formatCode="General" sourceLinked="1"/>
            <c:txPr>
              <a:bodyPr/>
              <a:lstStyle/>
              <a:p>
                <a:pPr>
                  <a:defRPr b="1" sz="800" spc="-1" strike="noStrike">
                    <a:solidFill>
                      <a:srgbClr val="000000"/>
                    </a:solidFill>
                    <a:latin typeface="Arial Cyr"/>
                    <a:ea typeface="Arial Cyr"/>
                  </a:defRPr>
                </a:pPr>
              </a:p>
            </c:txPr>
            <c:dLblPos val="r"/>
            <c:showLegendKey val="0"/>
            <c:showVal val="0"/>
            <c:showCatName val="0"/>
            <c:showSerName val="0"/>
            <c:showPercent val="0"/>
            <c:showLeaderLines val="0"/>
          </c:dLbls>
          <c:cat>
            <c:strRef>
              <c:f>categories</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0</c:f>
              <c:numCache>
                <c:formatCode>General</c:formatCode>
                <c:ptCount val="13"/>
                <c:pt idx="0">
                  <c:v>45724</c:v>
                </c:pt>
                <c:pt idx="1">
                  <c:v>45400</c:v>
                </c:pt>
                <c:pt idx="2">
                  <c:v>56200</c:v>
                </c:pt>
                <c:pt idx="3">
                  <c:v>40610</c:v>
                </c:pt>
                <c:pt idx="4">
                  <c:v>56577</c:v>
                </c:pt>
                <c:pt idx="5">
                  <c:v>51157</c:v>
                </c:pt>
                <c:pt idx="6">
                  <c:v>40869</c:v>
                </c:pt>
                <c:pt idx="7">
                  <c:v>37435</c:v>
                </c:pt>
                <c:pt idx="8">
                  <c:v>40511</c:v>
                </c:pt>
                <c:pt idx="9">
                  <c:v>39540</c:v>
                </c:pt>
                <c:pt idx="10">
                  <c:v>44464</c:v>
                </c:pt>
                <c:pt idx="11">
                  <c:v>34094</c:v>
                </c:pt>
                <c:pt idx="12">
                  <c:v>38357</c:v>
                </c:pt>
              </c:numCache>
            </c:numRef>
          </c:val>
          <c:smooth val="0"/>
        </c:ser>
        <c:hiLowLines>
          <c:spPr>
            <a:ln>
              <a:noFill/>
            </a:ln>
          </c:spPr>
        </c:hiLowLines>
        <c:marker val="1"/>
        <c:axId val="8048487"/>
        <c:axId val="72612816"/>
      </c:lineChart>
      <c:catAx>
        <c:axId val="8048487"/>
        <c:scaling>
          <c:orientation val="minMax"/>
        </c:scaling>
        <c:delete val="0"/>
        <c:axPos val="b"/>
        <c:title>
          <c:tx>
            <c:rich>
              <a:bodyPr rot="0"/>
              <a:lstStyle/>
              <a:p>
                <a:pPr>
                  <a:defRPr b="1" sz="800" spc="-1" strike="noStrike">
                    <a:solidFill>
                      <a:srgbClr val="000000"/>
                    </a:solidFill>
                    <a:latin typeface="Cambria"/>
                    <a:ea typeface="Cambria"/>
                  </a:defRPr>
                </a:pPr>
                <a:r>
                  <a:rPr b="1" sz="800" spc="-1" strike="noStrike">
                    <a:solidFill>
                      <a:srgbClr val="000000"/>
                    </a:solidFill>
                    <a:latin typeface="Cambria"/>
                    <a:ea typeface="Cambria"/>
                  </a:rPr>
                  <a:t>годы</a:t>
                </a:r>
              </a:p>
            </c:rich>
          </c:tx>
          <c:overlay val="0"/>
          <c:spPr>
            <a:noFill/>
            <a:ln w="25560">
              <a:noFill/>
            </a:ln>
          </c:spPr>
        </c:title>
        <c:numFmt formatCode="DD/MM/YYYY" sourceLinked="1"/>
        <c:majorTickMark val="out"/>
        <c:minorTickMark val="none"/>
        <c:tickLblPos val="nextTo"/>
        <c:spPr>
          <a:ln w="3240">
            <a:solidFill>
              <a:srgbClr val="000000"/>
            </a:solidFill>
            <a:round/>
          </a:ln>
        </c:spPr>
        <c:txPr>
          <a:bodyPr/>
          <a:lstStyle/>
          <a:p>
            <a:pPr>
              <a:defRPr b="1" sz="900" spc="-1" strike="noStrike">
                <a:solidFill>
                  <a:srgbClr val="000000"/>
                </a:solidFill>
                <a:latin typeface="Arial Cyr"/>
                <a:ea typeface="Arial Cyr"/>
              </a:defRPr>
            </a:pPr>
          </a:p>
        </c:txPr>
        <c:crossAx val="72612816"/>
        <c:crosses val="autoZero"/>
        <c:auto val="1"/>
        <c:lblAlgn val="ctr"/>
        <c:lblOffset val="100"/>
      </c:catAx>
      <c:valAx>
        <c:axId val="72612816"/>
        <c:scaling>
          <c:orientation val="minMax"/>
        </c:scaling>
        <c:delete val="0"/>
        <c:axPos val="l"/>
        <c:majorGridlines>
          <c:spPr>
            <a:ln w="12600">
              <a:solidFill>
                <a:srgbClr val="000000"/>
              </a:solidFill>
              <a:round/>
            </a:ln>
          </c:spPr>
        </c:majorGridlines>
        <c:title>
          <c:tx>
            <c:rich>
              <a:bodyPr rot="-5400000"/>
              <a:lstStyle/>
              <a:p>
                <a:pPr>
                  <a:defRPr b="1" sz="800" spc="-1" strike="noStrike">
                    <a:solidFill>
                      <a:srgbClr val="000000"/>
                    </a:solidFill>
                    <a:latin typeface="Calibri"/>
                    <a:ea typeface="Calibri"/>
                  </a:defRPr>
                </a:pPr>
                <a:r>
                  <a:rPr b="1" sz="800" spc="-1" strike="noStrike">
                    <a:solidFill>
                      <a:srgbClr val="000000"/>
                    </a:solidFill>
                    <a:latin typeface="Calibri"/>
                    <a:ea typeface="Calibri"/>
                  </a:rPr>
                  <a:t> шт.</a:t>
                </a:r>
              </a:p>
            </c:rich>
          </c:tx>
          <c:overlay val="0"/>
          <c:spPr>
            <a:noFill/>
            <a:ln w="25560">
              <a:noFill/>
            </a:ln>
          </c:spPr>
        </c:title>
        <c:numFmt formatCode="General" sourceLinked="0"/>
        <c:majorTickMark val="out"/>
        <c:minorTickMark val="none"/>
        <c:tickLblPos val="nextTo"/>
        <c:spPr>
          <a:ln w="3240">
            <a:solidFill>
              <a:srgbClr val="000000"/>
            </a:solidFill>
            <a:round/>
          </a:ln>
        </c:spPr>
        <c:txPr>
          <a:bodyPr/>
          <a:lstStyle/>
          <a:p>
            <a:pPr>
              <a:defRPr b="1" sz="800" spc="-1" strike="noStrike">
                <a:solidFill>
                  <a:srgbClr val="000000"/>
                </a:solidFill>
                <a:latin typeface="Times New Roman"/>
                <a:ea typeface="Times New Roman"/>
              </a:defRPr>
            </a:pPr>
          </a:p>
        </c:txPr>
        <c:crossAx val="8048487"/>
        <c:crosses val="autoZero"/>
        <c:crossBetween val="midCat"/>
      </c:valAx>
      <c:dTable>
        <c:showHorzBorder val="1"/>
        <c:showVertBorder val="1"/>
        <c:showOutline val="1"/>
      </c:dTable>
      <c:spPr>
        <a:noFill/>
        <a:ln w="25560">
          <a:noFill/>
        </a:ln>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ndard"/>
        <c:varyColors val="0"/>
        <c:ser>
          <c:idx val="0"/>
          <c:order val="0"/>
          <c:tx>
            <c:strRef>
              <c:f>label 0</c:f>
              <c:strCache>
                <c:ptCount val="1"/>
                <c:pt idx="0">
                  <c:v>Рысь</c:v>
                </c:pt>
              </c:strCache>
            </c:strRef>
          </c:tx>
          <c:spPr>
            <a:solidFill>
              <a:srgbClr val="000080"/>
            </a:solidFill>
            <a:ln w="12600">
              <a:solidFill>
                <a:srgbClr val="000080"/>
              </a:solidFill>
              <a:round/>
            </a:ln>
          </c:spPr>
          <c:marker>
            <c:symbol val="diamond"/>
            <c:size val="5"/>
            <c:spPr>
              <a:solidFill>
                <a:srgbClr val="000080"/>
              </a:solidFill>
            </c:spPr>
          </c:marker>
          <c:dLbls>
            <c:numFmt formatCode="General" sourceLinked="1"/>
            <c:txPr>
              <a:bodyPr/>
              <a:lstStyle/>
              <a:p>
                <a:pPr>
                  <a:defRPr b="1" sz="800" spc="-1" strike="noStrike">
                    <a:solidFill>
                      <a:srgbClr val="000000"/>
                    </a:solidFill>
                    <a:latin typeface="Arial Cyr"/>
                    <a:ea typeface="Arial Cyr"/>
                  </a:defRPr>
                </a:pPr>
              </a:p>
            </c:txPr>
            <c:dLblPos val="r"/>
            <c:showLegendKey val="0"/>
            <c:showVal val="0"/>
            <c:showCatName val="0"/>
            <c:showSerName val="0"/>
            <c:showPercent val="0"/>
            <c:showLeaderLines val="0"/>
          </c:dLbls>
          <c:cat>
            <c:strRef>
              <c:f>categories</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0</c:f>
              <c:numCache>
                <c:formatCode>General</c:formatCode>
                <c:ptCount val="13"/>
                <c:pt idx="0">
                  <c:v>240</c:v>
                </c:pt>
                <c:pt idx="1">
                  <c:v>180</c:v>
                </c:pt>
                <c:pt idx="2">
                  <c:v>290</c:v>
                </c:pt>
                <c:pt idx="3">
                  <c:v>220</c:v>
                </c:pt>
                <c:pt idx="4">
                  <c:v>200</c:v>
                </c:pt>
                <c:pt idx="5">
                  <c:v>182</c:v>
                </c:pt>
                <c:pt idx="6">
                  <c:v>86</c:v>
                </c:pt>
                <c:pt idx="7">
                  <c:v>185</c:v>
                </c:pt>
                <c:pt idx="8">
                  <c:v>252</c:v>
                </c:pt>
                <c:pt idx="9">
                  <c:v>321</c:v>
                </c:pt>
                <c:pt idx="10">
                  <c:v>131</c:v>
                </c:pt>
                <c:pt idx="11">
                  <c:v>60</c:v>
                </c:pt>
                <c:pt idx="12">
                  <c:v>161</c:v>
                </c:pt>
              </c:numCache>
            </c:numRef>
          </c:val>
          <c:smooth val="0"/>
        </c:ser>
        <c:hiLowLines>
          <c:spPr>
            <a:ln>
              <a:noFill/>
            </a:ln>
          </c:spPr>
        </c:hiLowLines>
        <c:marker val="1"/>
        <c:axId val="27914986"/>
        <c:axId val="49812332"/>
      </c:lineChart>
      <c:catAx>
        <c:axId val="27914986"/>
        <c:scaling>
          <c:orientation val="minMax"/>
        </c:scaling>
        <c:delete val="0"/>
        <c:axPos val="b"/>
        <c:title>
          <c:tx>
            <c:rich>
              <a:bodyPr rot="0"/>
              <a:lstStyle/>
              <a:p>
                <a:pPr>
                  <a:defRPr b="1" sz="800" spc="-1" strike="noStrike">
                    <a:solidFill>
                      <a:srgbClr val="000000"/>
                    </a:solidFill>
                    <a:latin typeface="Cambria"/>
                    <a:ea typeface="Cambria"/>
                  </a:defRPr>
                </a:pPr>
                <a:r>
                  <a:rPr b="1" sz="800" spc="-1" strike="noStrike">
                    <a:solidFill>
                      <a:srgbClr val="000000"/>
                    </a:solidFill>
                    <a:latin typeface="Cambria"/>
                    <a:ea typeface="Cambria"/>
                  </a:rPr>
                  <a:t>годы</a:t>
                </a:r>
              </a:p>
            </c:rich>
          </c:tx>
          <c:overlay val="0"/>
          <c:spPr>
            <a:noFill/>
            <a:ln w="25560">
              <a:noFill/>
            </a:ln>
          </c:spPr>
        </c:title>
        <c:numFmt formatCode="DD/MM/YYYY" sourceLinked="1"/>
        <c:majorTickMark val="out"/>
        <c:minorTickMark val="none"/>
        <c:tickLblPos val="nextTo"/>
        <c:spPr>
          <a:ln w="3240">
            <a:solidFill>
              <a:srgbClr val="000000"/>
            </a:solidFill>
            <a:round/>
          </a:ln>
        </c:spPr>
        <c:txPr>
          <a:bodyPr/>
          <a:lstStyle/>
          <a:p>
            <a:pPr>
              <a:defRPr b="1" sz="900" spc="-1" strike="noStrike">
                <a:solidFill>
                  <a:srgbClr val="000000"/>
                </a:solidFill>
                <a:latin typeface="Arial Cyr"/>
                <a:ea typeface="Arial Cyr"/>
              </a:defRPr>
            </a:pPr>
          </a:p>
        </c:txPr>
        <c:crossAx val="49812332"/>
        <c:crosses val="autoZero"/>
        <c:auto val="1"/>
        <c:lblAlgn val="ctr"/>
        <c:lblOffset val="100"/>
      </c:catAx>
      <c:valAx>
        <c:axId val="49812332"/>
        <c:scaling>
          <c:orientation val="minMax"/>
        </c:scaling>
        <c:delete val="0"/>
        <c:axPos val="l"/>
        <c:majorGridlines>
          <c:spPr>
            <a:ln w="12600">
              <a:solidFill>
                <a:srgbClr val="000000"/>
              </a:solidFill>
              <a:round/>
            </a:ln>
          </c:spPr>
        </c:majorGridlines>
        <c:title>
          <c:tx>
            <c:rich>
              <a:bodyPr rot="-5400000"/>
              <a:lstStyle/>
              <a:p>
                <a:pPr>
                  <a:defRPr b="1" sz="800" spc="-1" strike="noStrike">
                    <a:solidFill>
                      <a:srgbClr val="000000"/>
                    </a:solidFill>
                    <a:latin typeface="Calibri"/>
                    <a:ea typeface="Calibri"/>
                  </a:defRPr>
                </a:pPr>
                <a:r>
                  <a:rPr b="1" sz="800" spc="-1" strike="noStrike">
                    <a:solidFill>
                      <a:srgbClr val="000000"/>
                    </a:solidFill>
                    <a:latin typeface="Calibri"/>
                    <a:ea typeface="Calibri"/>
                  </a:rPr>
                  <a:t> шт.</a:t>
                </a:r>
              </a:p>
            </c:rich>
          </c:tx>
          <c:overlay val="0"/>
          <c:spPr>
            <a:noFill/>
            <a:ln w="25560">
              <a:noFill/>
            </a:ln>
          </c:spPr>
        </c:title>
        <c:numFmt formatCode="General" sourceLinked="0"/>
        <c:majorTickMark val="out"/>
        <c:minorTickMark val="none"/>
        <c:tickLblPos val="nextTo"/>
        <c:spPr>
          <a:ln w="3240">
            <a:solidFill>
              <a:srgbClr val="000000"/>
            </a:solidFill>
            <a:round/>
          </a:ln>
        </c:spPr>
        <c:txPr>
          <a:bodyPr/>
          <a:lstStyle/>
          <a:p>
            <a:pPr>
              <a:defRPr b="1" sz="800" spc="-1" strike="noStrike">
                <a:solidFill>
                  <a:srgbClr val="000000"/>
                </a:solidFill>
                <a:latin typeface="Times New Roman"/>
                <a:ea typeface="Times New Roman"/>
              </a:defRPr>
            </a:pPr>
          </a:p>
        </c:txPr>
        <c:crossAx val="27914986"/>
        <c:crosses val="autoZero"/>
        <c:crossBetween val="midCat"/>
      </c:valAx>
      <c:dTable>
        <c:showHorzBorder val="1"/>
        <c:showVertBorder val="1"/>
        <c:showOutline val="1"/>
      </c:dTable>
      <c:spPr>
        <a:noFill/>
        <a:ln w="25560">
          <a:noFill/>
        </a:ln>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80B6-4DA9-442F-BE69-A397C18E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Application>LibreOffice/6.1.3.2$Windows_X86_64 LibreOffice_project/86daf60bf00efa86ad547e59e09d6bb77c699acb</Application>
  <Pages>16</Pages>
  <Words>4653</Words>
  <Characters>31032</Characters>
  <CharactersWithSpaces>36827</CharactersWithSpaces>
  <Paragraphs>749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2018-05-21T11:49:00Z</dcterms:created>
  <dc:creator>Бузлуков Максим Владимирович</dc:creator>
  <dc:description/>
  <dc:language>ru-RU</dc:language>
  <cp:lastModifiedBy/>
  <cp:lastPrinted>2019-04-15T14:54:56Z</cp:lastPrinted>
  <dcterms:modified xsi:type="dcterms:W3CDTF">2019-04-26T11:21:54Z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