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03" w:rsidRPr="003C40C1" w:rsidRDefault="00F30D03" w:rsidP="00F30D03">
      <w:pPr>
        <w:widowControl w:val="0"/>
        <w:autoSpaceDE w:val="0"/>
        <w:autoSpaceDN w:val="0"/>
        <w:ind w:firstLine="540"/>
        <w:jc w:val="both"/>
        <w:outlineLvl w:val="0"/>
      </w:pPr>
      <w:r w:rsidRPr="003C40C1">
        <w:rPr>
          <w:b/>
        </w:rPr>
        <w:t>Какие документы должны быть оформлены при оказании физическим лицом, применяющим специальный налоговый режим  «Налог на профессиональный доход», услуг юридическому лицу по сделке, исполняемой немедленно при заключении договора, чтобы заказчик имел право учесть в расходах понесенные затраты</w:t>
      </w:r>
      <w:r w:rsidRPr="003C40C1">
        <w:t>.</w:t>
      </w:r>
    </w:p>
    <w:p w:rsidR="00F30D03" w:rsidRPr="003C40C1" w:rsidRDefault="00F30D03" w:rsidP="00F30D03">
      <w:pPr>
        <w:widowControl w:val="0"/>
        <w:autoSpaceDE w:val="0"/>
        <w:autoSpaceDN w:val="0"/>
        <w:spacing w:before="220"/>
        <w:ind w:firstLine="540"/>
        <w:contextualSpacing/>
        <w:jc w:val="both"/>
        <w:rPr>
          <w:color w:val="0D0D0D" w:themeColor="text1" w:themeTint="F2"/>
        </w:rPr>
      </w:pPr>
      <w:bookmarkStart w:id="0" w:name="_GoBack"/>
      <w:bookmarkEnd w:id="0"/>
      <w:r w:rsidRPr="003C40C1">
        <w:rPr>
          <w:color w:val="0D0D0D" w:themeColor="text1" w:themeTint="F2"/>
        </w:rPr>
        <w:t xml:space="preserve">Согласно </w:t>
      </w:r>
      <w:hyperlink r:id="rId5" w:history="1">
        <w:r w:rsidRPr="003C40C1">
          <w:rPr>
            <w:color w:val="0D0D0D" w:themeColor="text1" w:themeTint="F2"/>
          </w:rPr>
          <w:t>пункту 1 статьи 158</w:t>
        </w:r>
      </w:hyperlink>
      <w:r w:rsidRPr="003C40C1">
        <w:rPr>
          <w:color w:val="0D0D0D" w:themeColor="text1" w:themeTint="F2"/>
        </w:rPr>
        <w:t xml:space="preserve"> ГК РФ сделки совершаются устно или в письменной форме (простой или нотариальной).</w:t>
      </w:r>
    </w:p>
    <w:p w:rsidR="00F30D03" w:rsidRPr="003C40C1" w:rsidRDefault="00F30D03" w:rsidP="00F30D03">
      <w:pPr>
        <w:widowControl w:val="0"/>
        <w:autoSpaceDE w:val="0"/>
        <w:autoSpaceDN w:val="0"/>
        <w:spacing w:before="220"/>
        <w:ind w:firstLine="540"/>
        <w:contextualSpacing/>
        <w:jc w:val="both"/>
        <w:rPr>
          <w:color w:val="0D0D0D" w:themeColor="text1" w:themeTint="F2"/>
        </w:rPr>
      </w:pPr>
      <w:r w:rsidRPr="003C40C1">
        <w:rPr>
          <w:color w:val="0D0D0D" w:themeColor="text1" w:themeTint="F2"/>
        </w:rPr>
        <w:t xml:space="preserve">В соответствии с </w:t>
      </w:r>
      <w:hyperlink r:id="rId6" w:history="1">
        <w:r w:rsidRPr="003C40C1">
          <w:rPr>
            <w:color w:val="0D0D0D" w:themeColor="text1" w:themeTint="F2"/>
          </w:rPr>
          <w:t>пунктом 2 статьи 159</w:t>
        </w:r>
      </w:hyperlink>
      <w:r w:rsidRPr="003C40C1">
        <w:rPr>
          <w:color w:val="0D0D0D" w:themeColor="text1" w:themeTint="F2"/>
        </w:rPr>
        <w:t xml:space="preserve"> ГК </w:t>
      </w:r>
      <w:proofErr w:type="gramStart"/>
      <w:r w:rsidRPr="003C40C1">
        <w:rPr>
          <w:color w:val="0D0D0D" w:themeColor="text1" w:themeTint="F2"/>
        </w:rPr>
        <w:t>РФ</w:t>
      </w:r>
      <w:proofErr w:type="gramEnd"/>
      <w:r w:rsidRPr="003C40C1">
        <w:rPr>
          <w:color w:val="0D0D0D" w:themeColor="text1" w:themeTint="F2"/>
        </w:rPr>
        <w:t xml:space="preserve">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30D03" w:rsidRPr="003C40C1" w:rsidRDefault="00F30D03" w:rsidP="00F30D03">
      <w:pPr>
        <w:widowControl w:val="0"/>
        <w:autoSpaceDE w:val="0"/>
        <w:autoSpaceDN w:val="0"/>
        <w:spacing w:before="220"/>
        <w:ind w:firstLine="540"/>
        <w:contextualSpacing/>
        <w:jc w:val="both"/>
        <w:rPr>
          <w:color w:val="0D0D0D" w:themeColor="text1" w:themeTint="F2"/>
        </w:rPr>
      </w:pPr>
      <w:r w:rsidRPr="003C40C1">
        <w:rPr>
          <w:color w:val="0D0D0D" w:themeColor="text1" w:themeTint="F2"/>
        </w:rPr>
        <w:t xml:space="preserve">На основании </w:t>
      </w:r>
      <w:hyperlink r:id="rId7" w:history="1">
        <w:r w:rsidRPr="003C40C1">
          <w:rPr>
            <w:color w:val="0D0D0D" w:themeColor="text1" w:themeTint="F2"/>
          </w:rPr>
          <w:t>пункта 2 статьи 432</w:t>
        </w:r>
      </w:hyperlink>
      <w:r w:rsidRPr="003C40C1">
        <w:rPr>
          <w:color w:val="0D0D0D" w:themeColor="text1" w:themeTint="F2"/>
        </w:rPr>
        <w:t xml:space="preserve"> ГК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 При этом договор признается заключенным в момент получения лицом, направившим оферту, ее акцепта (</w:t>
      </w:r>
      <w:hyperlink r:id="rId8" w:history="1">
        <w:r w:rsidRPr="003C40C1">
          <w:rPr>
            <w:color w:val="0D0D0D" w:themeColor="text1" w:themeTint="F2"/>
          </w:rPr>
          <w:t>пункт 1 статьи 433</w:t>
        </w:r>
      </w:hyperlink>
      <w:r w:rsidRPr="003C40C1">
        <w:rPr>
          <w:color w:val="0D0D0D" w:themeColor="text1" w:themeTint="F2"/>
        </w:rPr>
        <w:t xml:space="preserve"> ГК РФ).</w:t>
      </w:r>
    </w:p>
    <w:p w:rsidR="00F30D03" w:rsidRPr="003C40C1" w:rsidRDefault="00F30D03" w:rsidP="00F30D03">
      <w:pPr>
        <w:widowControl w:val="0"/>
        <w:autoSpaceDE w:val="0"/>
        <w:autoSpaceDN w:val="0"/>
        <w:spacing w:before="220"/>
        <w:ind w:firstLine="540"/>
        <w:contextualSpacing/>
        <w:jc w:val="both"/>
        <w:rPr>
          <w:color w:val="0D0D0D" w:themeColor="text1" w:themeTint="F2"/>
        </w:rPr>
      </w:pPr>
      <w:r w:rsidRPr="003C40C1">
        <w:rPr>
          <w:color w:val="0D0D0D" w:themeColor="text1" w:themeTint="F2"/>
        </w:rPr>
        <w:t xml:space="preserve">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на основании </w:t>
      </w:r>
      <w:hyperlink r:id="rId9" w:history="1">
        <w:r w:rsidRPr="003C40C1">
          <w:rPr>
            <w:color w:val="0D0D0D" w:themeColor="text1" w:themeTint="F2"/>
          </w:rPr>
          <w:t>пункта 2 статьи 437</w:t>
        </w:r>
      </w:hyperlink>
      <w:r w:rsidRPr="003C40C1">
        <w:rPr>
          <w:color w:val="0D0D0D" w:themeColor="text1" w:themeTint="F2"/>
        </w:rPr>
        <w:t xml:space="preserve"> ГК РФ офертой (публичная оферта).</w:t>
      </w:r>
    </w:p>
    <w:p w:rsidR="00F30D03" w:rsidRPr="003C40C1" w:rsidRDefault="00F30D03" w:rsidP="00F30D03">
      <w:pPr>
        <w:widowControl w:val="0"/>
        <w:autoSpaceDE w:val="0"/>
        <w:autoSpaceDN w:val="0"/>
        <w:spacing w:before="220"/>
        <w:ind w:firstLine="540"/>
        <w:contextualSpacing/>
        <w:jc w:val="both"/>
        <w:rPr>
          <w:color w:val="0D0D0D" w:themeColor="text1" w:themeTint="F2"/>
        </w:rPr>
      </w:pPr>
      <w:proofErr w:type="gramStart"/>
      <w:r w:rsidRPr="003C40C1">
        <w:rPr>
          <w:color w:val="0D0D0D" w:themeColor="text1" w:themeTint="F2"/>
        </w:rPr>
        <w:t xml:space="preserve">При этом в соответствии с </w:t>
      </w:r>
      <w:hyperlink r:id="rId10" w:history="1">
        <w:r w:rsidRPr="003C40C1">
          <w:rPr>
            <w:color w:val="0D0D0D" w:themeColor="text1" w:themeTint="F2"/>
          </w:rPr>
          <w:t>пунктом 3 статьи 438</w:t>
        </w:r>
      </w:hyperlink>
      <w:r w:rsidRPr="003C40C1">
        <w:rPr>
          <w:color w:val="0D0D0D" w:themeColor="text1" w:themeTint="F2"/>
        </w:rPr>
        <w:t xml:space="preserve"> ГК РФ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roofErr w:type="gramEnd"/>
    </w:p>
    <w:p w:rsidR="00F30D03" w:rsidRPr="003C40C1" w:rsidRDefault="00F30D03" w:rsidP="00F30D03">
      <w:pPr>
        <w:widowControl w:val="0"/>
        <w:autoSpaceDE w:val="0"/>
        <w:autoSpaceDN w:val="0"/>
        <w:spacing w:before="220"/>
        <w:ind w:firstLine="540"/>
        <w:contextualSpacing/>
        <w:jc w:val="both"/>
        <w:rPr>
          <w:color w:val="0D0D0D" w:themeColor="text1" w:themeTint="F2"/>
        </w:rPr>
      </w:pPr>
      <w:r w:rsidRPr="003C40C1">
        <w:rPr>
          <w:color w:val="0D0D0D" w:themeColor="text1" w:themeTint="F2"/>
        </w:rPr>
        <w:t>Учитывая изложенное, при оказании услуг по сделке, исполняемой немедленно при заключении договора, заключение договора в письменной форме не требуется. Факт заключения договора подтверждается уплатой заказчику соответствующей суммы за оказанные услуги.</w:t>
      </w:r>
    </w:p>
    <w:p w:rsidR="00F30D03" w:rsidRPr="003C40C1" w:rsidRDefault="00F30D03" w:rsidP="00F30D03">
      <w:pPr>
        <w:widowControl w:val="0"/>
        <w:autoSpaceDE w:val="0"/>
        <w:autoSpaceDN w:val="0"/>
        <w:spacing w:before="220"/>
        <w:ind w:firstLine="540"/>
        <w:contextualSpacing/>
        <w:jc w:val="both"/>
        <w:rPr>
          <w:color w:val="0D0D0D" w:themeColor="text1" w:themeTint="F2"/>
        </w:rPr>
      </w:pPr>
      <w:proofErr w:type="gramStart"/>
      <w:r w:rsidRPr="003C40C1">
        <w:rPr>
          <w:color w:val="0D0D0D" w:themeColor="text1" w:themeTint="F2"/>
        </w:rPr>
        <w:t xml:space="preserve">В соответствии с </w:t>
      </w:r>
      <w:hyperlink r:id="rId11" w:history="1">
        <w:r w:rsidRPr="003C40C1">
          <w:rPr>
            <w:color w:val="0D0D0D" w:themeColor="text1" w:themeTint="F2"/>
          </w:rPr>
          <w:t>пунктом 1 статьи 252</w:t>
        </w:r>
      </w:hyperlink>
      <w:r w:rsidRPr="003C40C1">
        <w:rPr>
          <w:color w:val="0D0D0D" w:themeColor="text1" w:themeTint="F2"/>
        </w:rPr>
        <w:t xml:space="preserve"> Налогового кодекса Российской Федерации (далее - НК РФ)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w:t>
      </w:r>
      <w:proofErr w:type="gramEnd"/>
      <w:r w:rsidRPr="003C40C1">
        <w:rPr>
          <w:color w:val="0D0D0D" w:themeColor="text1" w:themeTint="F2"/>
        </w:rPr>
        <w:t xml:space="preserve"> декларацией, приказом о командировке, проездными документами, отчетом о выполненной работе в соответствии с договором). Расходами признаются любые затраты при условии, что они произведены для осуществления деятельности, направленной на получение дохода.</w:t>
      </w:r>
    </w:p>
    <w:p w:rsidR="00F30D03" w:rsidRPr="003C40C1" w:rsidRDefault="00F30D03" w:rsidP="00F30D03">
      <w:pPr>
        <w:widowControl w:val="0"/>
        <w:autoSpaceDE w:val="0"/>
        <w:autoSpaceDN w:val="0"/>
        <w:spacing w:before="220"/>
        <w:ind w:firstLine="540"/>
        <w:contextualSpacing/>
        <w:jc w:val="both"/>
        <w:rPr>
          <w:color w:val="0D0D0D" w:themeColor="text1" w:themeTint="F2"/>
        </w:rPr>
      </w:pPr>
      <w:proofErr w:type="gramStart"/>
      <w:r w:rsidRPr="003C40C1">
        <w:rPr>
          <w:color w:val="0D0D0D" w:themeColor="text1" w:themeTint="F2"/>
        </w:rPr>
        <w:t xml:space="preserve">Согласно </w:t>
      </w:r>
      <w:hyperlink r:id="rId12" w:history="1">
        <w:r w:rsidRPr="003C40C1">
          <w:rPr>
            <w:color w:val="0D0D0D" w:themeColor="text1" w:themeTint="F2"/>
          </w:rPr>
          <w:t>части 1 статьи 14</w:t>
        </w:r>
      </w:hyperlink>
      <w:r w:rsidRPr="003C40C1">
        <w:rPr>
          <w:color w:val="0D0D0D" w:themeColor="text1" w:themeTint="F2"/>
        </w:rPr>
        <w:t xml:space="preserve"> Федерального закона от 27.11.2018 № 422-ФЗ (далее - Закон 422-ФЗ) при произведении расчетов, связанных с получением доходов от реализации услуг, являющихся объектом налогообложения налогом на профессиональный доход (далее - НПД),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сформировать чек и обеспечить его передачу заказчику.</w:t>
      </w:r>
      <w:proofErr w:type="gramEnd"/>
    </w:p>
    <w:p w:rsidR="00F30D03" w:rsidRPr="003C40C1" w:rsidRDefault="00F30D03" w:rsidP="00F30D03">
      <w:pPr>
        <w:widowControl w:val="0"/>
        <w:autoSpaceDE w:val="0"/>
        <w:autoSpaceDN w:val="0"/>
        <w:spacing w:before="220"/>
        <w:ind w:firstLine="540"/>
        <w:contextualSpacing/>
        <w:jc w:val="both"/>
        <w:rPr>
          <w:color w:val="0D0D0D" w:themeColor="text1" w:themeTint="F2"/>
        </w:rPr>
      </w:pPr>
      <w:r w:rsidRPr="003C40C1">
        <w:rPr>
          <w:color w:val="0D0D0D" w:themeColor="text1" w:themeTint="F2"/>
        </w:rPr>
        <w:t xml:space="preserve">Согласно </w:t>
      </w:r>
      <w:hyperlink r:id="rId13" w:history="1">
        <w:r w:rsidRPr="003C40C1">
          <w:rPr>
            <w:color w:val="0D0D0D" w:themeColor="text1" w:themeTint="F2"/>
          </w:rPr>
          <w:t>пунктам 6</w:t>
        </w:r>
      </w:hyperlink>
      <w:r w:rsidRPr="003C40C1">
        <w:rPr>
          <w:color w:val="0D0D0D" w:themeColor="text1" w:themeTint="F2"/>
        </w:rPr>
        <w:t xml:space="preserve"> и </w:t>
      </w:r>
      <w:hyperlink r:id="rId14" w:history="1">
        <w:r w:rsidRPr="003C40C1">
          <w:rPr>
            <w:color w:val="0D0D0D" w:themeColor="text1" w:themeTint="F2"/>
          </w:rPr>
          <w:t>8 части 6 статьи 14</w:t>
        </w:r>
      </w:hyperlink>
      <w:r w:rsidRPr="003C40C1">
        <w:rPr>
          <w:color w:val="0D0D0D" w:themeColor="text1" w:themeTint="F2"/>
        </w:rPr>
        <w:t xml:space="preserve"> Закона 422-ФЗ в чеке должны быть указаны наименование оказанных услуг и идентификационный номер налогоплательщика юридического лица или индивидуального предпринимателя - заказчика услуг. Обязанность по сообщению идентификационного номера налогоплательщика возлагается на заказчика.</w:t>
      </w:r>
    </w:p>
    <w:p w:rsidR="00F30D03" w:rsidRPr="003C40C1" w:rsidRDefault="00F30D03" w:rsidP="00F30D03">
      <w:pPr>
        <w:widowControl w:val="0"/>
        <w:autoSpaceDE w:val="0"/>
        <w:autoSpaceDN w:val="0"/>
        <w:spacing w:before="220"/>
        <w:ind w:firstLine="540"/>
        <w:contextualSpacing/>
        <w:jc w:val="both"/>
        <w:rPr>
          <w:color w:val="0D0D0D" w:themeColor="text1" w:themeTint="F2"/>
        </w:rPr>
      </w:pPr>
      <w:hyperlink r:id="rId15" w:history="1">
        <w:r w:rsidRPr="003C40C1">
          <w:rPr>
            <w:color w:val="0D0D0D" w:themeColor="text1" w:themeTint="F2"/>
          </w:rPr>
          <w:t>Частью 8 статьи 15</w:t>
        </w:r>
      </w:hyperlink>
      <w:r w:rsidRPr="003C40C1">
        <w:rPr>
          <w:color w:val="0D0D0D" w:themeColor="text1" w:themeTint="F2"/>
        </w:rPr>
        <w:t xml:space="preserve"> Закона 422-ФЗ предусмотрено, что организации, являющиеся </w:t>
      </w:r>
      <w:r w:rsidRPr="003C40C1">
        <w:rPr>
          <w:color w:val="0D0D0D" w:themeColor="text1" w:themeTint="F2"/>
        </w:rPr>
        <w:lastRenderedPageBreak/>
        <w:t xml:space="preserve">налогоплательщиками налога на прибыль организаций, при определении налоговой базы не учитывают расходы, связанные с приобретением услуг у физических лиц, являющихся налогоплательщиками, при отсутствии чека, сформированного исполнителем в порядке, предусмотренном </w:t>
      </w:r>
      <w:hyperlink r:id="rId16" w:history="1">
        <w:r w:rsidRPr="003C40C1">
          <w:rPr>
            <w:color w:val="0D0D0D" w:themeColor="text1" w:themeTint="F2"/>
          </w:rPr>
          <w:t>статьей 14</w:t>
        </w:r>
      </w:hyperlink>
      <w:r w:rsidRPr="003C40C1">
        <w:rPr>
          <w:color w:val="0D0D0D" w:themeColor="text1" w:themeTint="F2"/>
        </w:rPr>
        <w:t xml:space="preserve"> закона 422-ФЗ.</w:t>
      </w:r>
    </w:p>
    <w:p w:rsidR="00F30D03" w:rsidRPr="003C40C1" w:rsidRDefault="00F30D03" w:rsidP="00F30D03">
      <w:pPr>
        <w:widowControl w:val="0"/>
        <w:autoSpaceDE w:val="0"/>
        <w:autoSpaceDN w:val="0"/>
        <w:spacing w:before="220"/>
        <w:ind w:firstLine="540"/>
        <w:contextualSpacing/>
        <w:jc w:val="both"/>
        <w:rPr>
          <w:color w:val="0D0D0D" w:themeColor="text1" w:themeTint="F2"/>
        </w:rPr>
      </w:pPr>
      <w:r w:rsidRPr="003C40C1">
        <w:rPr>
          <w:color w:val="0D0D0D" w:themeColor="text1" w:themeTint="F2"/>
        </w:rPr>
        <w:t xml:space="preserve">Согласно </w:t>
      </w:r>
      <w:hyperlink r:id="rId17" w:history="1">
        <w:r w:rsidRPr="003C40C1">
          <w:rPr>
            <w:color w:val="0D0D0D" w:themeColor="text1" w:themeTint="F2"/>
          </w:rPr>
          <w:t>подпункту 3 пункта 7 статьи 272</w:t>
        </w:r>
      </w:hyperlink>
      <w:r w:rsidRPr="003C40C1">
        <w:rPr>
          <w:color w:val="0D0D0D" w:themeColor="text1" w:themeTint="F2"/>
        </w:rPr>
        <w:t xml:space="preserve"> НК РФ датой осуществления прочих расходов в виде расходов на оплату сторонним организациям за предоставленные услуги признается дата расчетов в соответствии с условиями заключенных договоров или дата предъявления налогоплательщику документов, служащих основанием для произведения расчетов, либо последнее число отчетного (налогового) периода.</w:t>
      </w:r>
    </w:p>
    <w:p w:rsidR="00F30D03" w:rsidRPr="003C40C1" w:rsidRDefault="00F30D03" w:rsidP="00F30D03">
      <w:pPr>
        <w:widowControl w:val="0"/>
        <w:autoSpaceDE w:val="0"/>
        <w:autoSpaceDN w:val="0"/>
        <w:spacing w:before="220"/>
        <w:ind w:firstLine="540"/>
        <w:contextualSpacing/>
        <w:jc w:val="both"/>
        <w:rPr>
          <w:color w:val="0D0D0D" w:themeColor="text1" w:themeTint="F2"/>
        </w:rPr>
      </w:pPr>
      <w:r w:rsidRPr="003C40C1">
        <w:rPr>
          <w:color w:val="0D0D0D" w:themeColor="text1" w:themeTint="F2"/>
        </w:rPr>
        <w:t>Таким образом документом, подтверждающим произведенные организацией-заказчиком затраты на оплату услуг, по сделке, исполняемой немедленно при заключении договора, является чек, выданный исполнителем - физическим лицом, применяющим специальный налоговый режим «Налог на профессиональный доход» с указанием ИНН организации-заказчика и наименования оказанных услуг.</w:t>
      </w:r>
    </w:p>
    <w:p w:rsidR="00F30D03" w:rsidRPr="003C40C1" w:rsidRDefault="00F30D03" w:rsidP="00F30D03">
      <w:pPr>
        <w:pStyle w:val="ConsPlusTitle"/>
        <w:jc w:val="center"/>
        <w:rPr>
          <w:rFonts w:ascii="Times New Roman" w:hAnsi="Times New Roman" w:cs="Times New Roman"/>
          <w:b w:val="0"/>
          <w:sz w:val="24"/>
          <w:szCs w:val="24"/>
        </w:rPr>
      </w:pPr>
      <w:r w:rsidRPr="003C40C1">
        <w:rPr>
          <w:rFonts w:ascii="Times New Roman" w:hAnsi="Times New Roman" w:cs="Times New Roman"/>
          <w:b w:val="0"/>
          <w:sz w:val="24"/>
          <w:szCs w:val="24"/>
        </w:rPr>
        <w:t>(Письмо  Федеральной налоговой службы  от 20 февраля 2019 г. N СД-4-3/2899@).</w:t>
      </w:r>
    </w:p>
    <w:p w:rsidR="00D9047E" w:rsidRDefault="00D9047E"/>
    <w:sectPr w:rsidR="00D90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03"/>
    <w:rsid w:val="00D9047E"/>
    <w:rsid w:val="00F30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0D0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0D0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BDFBA52A6D170EDC072B22FBB27D7F0B7ADE333AE480A32D4E2AC71C7E7B907F4D115B65BBB4407038C2ED7871A494B08D9E32BFD6C54KE5EI" TargetMode="External"/><Relationship Id="rId13" Type="http://schemas.openxmlformats.org/officeDocument/2006/relationships/hyperlink" Target="consultantplus://offline/ref=C2DBDFBA52A6D170EDC072B22FBB27D7F0B7A1EE35A8480A32D4E2AC71C7E7B907F4D115B659BA4204038C2ED7871A494B08D9E32BFD6C54KE5E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DBDFBA52A6D170EDC072B22FBB27D7F0B7ADE333AE480A32D4E2AC71C7E7B907F4D115B65BBB4405038C2ED7871A494B08D9E32BFD6C54KE5EI" TargetMode="External"/><Relationship Id="rId12" Type="http://schemas.openxmlformats.org/officeDocument/2006/relationships/hyperlink" Target="consultantplus://offline/ref=C2DBDFBA52A6D170EDC072B22FBB27D7F0B7A1EE35A8480A32D4E2AC71C7E7B907F4D115B659BA4003038C2ED7871A494B08D9E32BFD6C54KE5EI" TargetMode="External"/><Relationship Id="rId17" Type="http://schemas.openxmlformats.org/officeDocument/2006/relationships/hyperlink" Target="consultantplus://offline/ref=C2DBDFBA52A6D170EDC072B22FBB27D7F0B7ADE330A2480A32D4E2AC71C7E7B907F4D117B65FB24A50599C2A9ED012554E1EC7E935FDK65CI" TargetMode="External"/><Relationship Id="rId2" Type="http://schemas.microsoft.com/office/2007/relationships/stylesWithEffects" Target="stylesWithEffects.xml"/><Relationship Id="rId16" Type="http://schemas.openxmlformats.org/officeDocument/2006/relationships/hyperlink" Target="consultantplus://offline/ref=C2DBDFBA52A6D170EDC072B22FBB27D7F0B7A1EE35A8480A32D4E2AC71C7E7B907F4D115B659BA4002038C2ED7871A494B08D9E32BFD6C54KE5EI" TargetMode="External"/><Relationship Id="rId1" Type="http://schemas.openxmlformats.org/officeDocument/2006/relationships/styles" Target="styles.xml"/><Relationship Id="rId6" Type="http://schemas.openxmlformats.org/officeDocument/2006/relationships/hyperlink" Target="consultantplus://offline/ref=C2DBDFBA52A6D170EDC072B22FBB27D7F0B7ADE333AE480A32D4E2AC71C7E7B907F4D115B659B24007038C2ED7871A494B08D9E32BFD6C54KE5EI" TargetMode="External"/><Relationship Id="rId11" Type="http://schemas.openxmlformats.org/officeDocument/2006/relationships/hyperlink" Target="consultantplus://offline/ref=C2DBDFBA52A6D170EDC072B22FBB27D7F0B7ADE330A2480A32D4E2AC71C7E7B907F4D115B658B24400038C2ED7871A494B08D9E32BFD6C54KE5EI" TargetMode="External"/><Relationship Id="rId5" Type="http://schemas.openxmlformats.org/officeDocument/2006/relationships/hyperlink" Target="consultantplus://offline/ref=C2DBDFBA52A6D170EDC072B22FBB27D7F0B7ADE333AE480A32D4E2AC71C7E7B907F4D115B659B2410C038C2ED7871A494B08D9E32BFD6C54KE5EI" TargetMode="External"/><Relationship Id="rId15" Type="http://schemas.openxmlformats.org/officeDocument/2006/relationships/hyperlink" Target="consultantplus://offline/ref=C2DBDFBA52A6D170EDC072B22FBB27D7F0B7A1EE35A8480A32D4E2AC71C7E7B907F4D115B659BA4405038C2ED7871A494B08D9E32BFD6C54KE5EI" TargetMode="External"/><Relationship Id="rId10" Type="http://schemas.openxmlformats.org/officeDocument/2006/relationships/hyperlink" Target="consultantplus://offline/ref=C2DBDFBA52A6D170EDC072B22FBB27D7F0B7ADE333AE480A32D4E2AC71C7E7B907F4D115B65BBB4601038C2ED7871A494B08D9E32BFD6C54KE5E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2DBDFBA52A6D170EDC072B22FBB27D7F0B7ADE333AE480A32D4E2AC71C7E7B907F4D115B65BBB4604038C2ED7871A494B08D9E32BFD6C54KE5EI" TargetMode="External"/><Relationship Id="rId14" Type="http://schemas.openxmlformats.org/officeDocument/2006/relationships/hyperlink" Target="consultantplus://offline/ref=C2DBDFBA52A6D170EDC072B22FBB27D7F0B7A1EE35A8480A32D4E2AC71C7E7B907F4D115B659BA4206038C2ED7871A494B08D9E32BFD6C54KE5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2020-08-26T09:09:00Z</dcterms:created>
  <dcterms:modified xsi:type="dcterms:W3CDTF">2020-08-26T09:09:00Z</dcterms:modified>
</cp:coreProperties>
</file>