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997136">
        <w:rPr>
          <w:sz w:val="28"/>
          <w:szCs w:val="28"/>
        </w:rPr>
        <w:t>августа</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997136">
        <w:rPr>
          <w:rFonts w:ascii="Times New Roman" w:hAnsi="Times New Roman"/>
          <w:sz w:val="28"/>
          <w:szCs w:val="28"/>
        </w:rPr>
        <w:t>10 августа</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997136">
        <w:rPr>
          <w:rFonts w:ascii="Times New Roman" w:hAnsi="Times New Roman"/>
          <w:sz w:val="28"/>
          <w:szCs w:val="28"/>
        </w:rPr>
        <w:t>августа</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4626EE"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p w:rsidR="00DB1646" w:rsidRDefault="00DB1646" w:rsidP="009B641B">
      <w:pPr>
        <w:autoSpaceDE w:val="0"/>
        <w:autoSpaceDN w:val="0"/>
        <w:adjustRightInd w:val="0"/>
        <w:spacing w:after="0" w:line="240" w:lineRule="auto"/>
        <w:ind w:firstLine="540"/>
        <w:jc w:val="center"/>
        <w:rPr>
          <w:rFonts w:ascii="Times New Roman" w:hAnsi="Times New Roman"/>
          <w:b/>
          <w:sz w:val="28"/>
          <w:szCs w:val="28"/>
        </w:rPr>
      </w:pPr>
    </w:p>
    <w:tbl>
      <w:tblPr>
        <w:tblW w:w="9924" w:type="dxa"/>
        <w:tblInd w:w="-318" w:type="dxa"/>
        <w:tblLook w:val="04A0"/>
      </w:tblPr>
      <w:tblGrid>
        <w:gridCol w:w="496"/>
        <w:gridCol w:w="356"/>
        <w:gridCol w:w="559"/>
        <w:gridCol w:w="979"/>
        <w:gridCol w:w="7534"/>
      </w:tblGrid>
      <w:tr w:rsidR="00997136" w:rsidRPr="00997136" w:rsidTr="00997136">
        <w:trPr>
          <w:trHeight w:val="322"/>
        </w:trPr>
        <w:tc>
          <w:tcPr>
            <w:tcW w:w="2390" w:type="dxa"/>
            <w:gridSpan w:val="4"/>
            <w:vMerge w:val="restart"/>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997136" w:rsidRPr="00997136" w:rsidRDefault="00997136" w:rsidP="00997136">
            <w:pPr>
              <w:spacing w:after="0" w:line="240" w:lineRule="auto"/>
              <w:jc w:val="center"/>
              <w:rPr>
                <w:rFonts w:ascii="Times New Roman" w:eastAsia="Times New Roman" w:hAnsi="Times New Roman" w:cs="Times New Roman"/>
                <w:b/>
                <w:bCs/>
                <w:sz w:val="28"/>
                <w:szCs w:val="28"/>
                <w:lang w:eastAsia="ru-RU"/>
              </w:rPr>
            </w:pPr>
            <w:r w:rsidRPr="00997136">
              <w:rPr>
                <w:rFonts w:ascii="Times New Roman" w:eastAsia="Times New Roman" w:hAnsi="Times New Roman" w:cs="Times New Roman"/>
                <w:b/>
                <w:bCs/>
                <w:sz w:val="28"/>
                <w:szCs w:val="28"/>
                <w:lang w:eastAsia="ru-RU"/>
              </w:rPr>
              <w:t>ЦСР</w:t>
            </w:r>
          </w:p>
        </w:tc>
        <w:tc>
          <w:tcPr>
            <w:tcW w:w="7534"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97136" w:rsidRPr="00997136" w:rsidRDefault="00997136" w:rsidP="00997136">
            <w:pPr>
              <w:spacing w:after="0" w:line="240" w:lineRule="auto"/>
              <w:jc w:val="center"/>
              <w:rPr>
                <w:rFonts w:ascii="Times New Roman" w:eastAsia="Times New Roman" w:hAnsi="Times New Roman" w:cs="Times New Roman"/>
                <w:b/>
                <w:bCs/>
                <w:sz w:val="28"/>
                <w:szCs w:val="28"/>
                <w:lang w:eastAsia="ru-RU"/>
              </w:rPr>
            </w:pPr>
            <w:r w:rsidRPr="00997136">
              <w:rPr>
                <w:rFonts w:ascii="Times New Roman" w:eastAsia="Times New Roman" w:hAnsi="Times New Roman" w:cs="Times New Roman"/>
                <w:b/>
                <w:bCs/>
                <w:sz w:val="28"/>
                <w:szCs w:val="28"/>
                <w:lang w:eastAsia="ru-RU"/>
              </w:rPr>
              <w:t>Наименование показателя</w:t>
            </w:r>
          </w:p>
        </w:tc>
      </w:tr>
      <w:tr w:rsidR="00997136" w:rsidRPr="00997136" w:rsidTr="00997136">
        <w:trPr>
          <w:trHeight w:val="322"/>
        </w:trPr>
        <w:tc>
          <w:tcPr>
            <w:tcW w:w="2390" w:type="dxa"/>
            <w:gridSpan w:val="4"/>
            <w:vMerge/>
            <w:tcBorders>
              <w:top w:val="single" w:sz="8" w:space="0" w:color="auto"/>
              <w:left w:val="single" w:sz="8" w:space="0" w:color="auto"/>
              <w:bottom w:val="single" w:sz="4" w:space="0" w:color="000000"/>
              <w:right w:val="single" w:sz="4" w:space="0" w:color="000000"/>
            </w:tcBorders>
            <w:vAlign w:val="center"/>
            <w:hideMark/>
          </w:tcPr>
          <w:p w:rsidR="00997136" w:rsidRPr="00997136" w:rsidRDefault="00997136" w:rsidP="00997136">
            <w:pPr>
              <w:spacing w:after="0" w:line="240" w:lineRule="auto"/>
              <w:rPr>
                <w:rFonts w:ascii="Times New Roman" w:eastAsia="Times New Roman" w:hAnsi="Times New Roman" w:cs="Times New Roman"/>
                <w:b/>
                <w:bCs/>
                <w:sz w:val="28"/>
                <w:szCs w:val="28"/>
                <w:lang w:eastAsia="ru-RU"/>
              </w:rPr>
            </w:pPr>
          </w:p>
        </w:tc>
        <w:tc>
          <w:tcPr>
            <w:tcW w:w="7534" w:type="dxa"/>
            <w:vMerge/>
            <w:tcBorders>
              <w:top w:val="single" w:sz="8" w:space="0" w:color="auto"/>
              <w:left w:val="single" w:sz="4" w:space="0" w:color="auto"/>
              <w:bottom w:val="single" w:sz="4" w:space="0" w:color="auto"/>
              <w:right w:val="single" w:sz="8" w:space="0" w:color="auto"/>
            </w:tcBorders>
            <w:vAlign w:val="center"/>
            <w:hideMark/>
          </w:tcPr>
          <w:p w:rsidR="00997136" w:rsidRPr="00997136" w:rsidRDefault="00997136" w:rsidP="00997136">
            <w:pPr>
              <w:spacing w:after="0" w:line="240" w:lineRule="auto"/>
              <w:rPr>
                <w:rFonts w:ascii="Times New Roman" w:eastAsia="Times New Roman" w:hAnsi="Times New Roman" w:cs="Times New Roman"/>
                <w:b/>
                <w:bCs/>
                <w:sz w:val="28"/>
                <w:szCs w:val="28"/>
                <w:lang w:eastAsia="ru-RU"/>
              </w:rPr>
            </w:pP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997136" w:rsidRPr="00997136" w:rsidTr="00997136">
        <w:trPr>
          <w:trHeight w:val="24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84305</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Строительство и реконструкция дошкольных образовательных и общеобразовательных организаций, организаций для отдыха и оздоровления детей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53030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997136" w:rsidRPr="00997136" w:rsidTr="00997136">
        <w:trPr>
          <w:trHeight w:val="24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84305</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L3040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"Современная школа"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82680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Строительство и реконструкция общеобразовательных организаций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S2680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строительство и реконструкцию общеобразовательных организаций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"Успех каждого ребенка"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54910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"Учитель Будущего"</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"Дети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и обеспечение отдыха и оздоровления детей, в том числе в этнической среде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деятельности по опеке и попечительству</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Подпрограмма "Преодоление социальной </w:t>
            </w:r>
            <w:proofErr w:type="spellStart"/>
            <w:r w:rsidRPr="00997136">
              <w:rPr>
                <w:rFonts w:ascii="Times New Roman" w:eastAsia="Times New Roman" w:hAnsi="Times New Roman" w:cs="Times New Roman"/>
                <w:sz w:val="28"/>
                <w:szCs w:val="28"/>
                <w:lang w:eastAsia="ru-RU"/>
              </w:rPr>
              <w:t>исключенности</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библиотечного дела"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82520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Развитие сферы культуры в муниципальных образованиях Ханты-Мансийского автономного округа - Югры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S2520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развитие сферы культуры в муниципальных образованиях Ханты-Мансийского автономного округа - Югры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музейного дела"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"Культурная среда"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55190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государственную поддержку отрасли культуры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"Организационные, экономические механизмы развития культуры, архивного дела и историко-культурного наследия"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архивного дела"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добровольческих (волонтерских) и некоммерческих организации"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реализации переданных полномочий городского поселения Березово "</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физической культуры, спорта, туризма и молодежной политики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муниципальных образований по развитию сети спортивных объектов шаговой доступности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по развитию сети спортивных объектов шаговой доступности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"Спорт – норма жизни"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"Молодежь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трудоустройству граждан"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85060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поддержку и развитие растениеводства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прочего животноводства"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поддержку и развитие животноводства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"Поддержка малых форм хозяйствования"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малых форм хозяйствования"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и развитие малых форм хозяйствования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организацию мероприятий при осуществлении деятельности по обращению с животными без владельцев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997136" w:rsidRPr="00997136" w:rsidTr="00997136">
        <w:trPr>
          <w:trHeight w:val="18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полномочий в области градостроительной деятельности, строительства и жилищных отношений </w:t>
            </w:r>
            <w:r w:rsidRPr="00997136">
              <w:rPr>
                <w:rFonts w:ascii="Times New Roman" w:eastAsia="Times New Roman" w:hAnsi="Times New Roman" w:cs="Times New Roman"/>
                <w:sz w:val="28"/>
                <w:szCs w:val="28"/>
                <w:lang w:eastAsia="ru-RU"/>
              </w:rPr>
              <w:lastRenderedPageBreak/>
              <w:t>(архитектура)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"Приобретение жилья, проведение экспертизы"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(ОЖП)</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"Обеспечение устойчивого сокращения непригодного для проживания жилищного фонда"</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67484</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6748S</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L4970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51350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51760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Реконструкция, расширение, модернизация, строительство коммунальных объектов</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реконструкцию, расширение, модернизацию, строительство коммунальных объектов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"Капитальный ремонт объектов коммунальной инфраструктуры"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w:t>
            </w:r>
            <w:r w:rsidRPr="00997136">
              <w:rPr>
                <w:rFonts w:ascii="Times New Roman" w:eastAsia="Times New Roman" w:hAnsi="Times New Roman" w:cs="Times New Roman"/>
                <w:sz w:val="28"/>
                <w:szCs w:val="28"/>
                <w:lang w:eastAsia="ru-RU"/>
              </w:rPr>
              <w:lastRenderedPageBreak/>
              <w:t>числе администрирование)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расходов организации за доставку населению сжиженного газа для бытовых нужд</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по возмещению расходов организации за доставку населению сжиженного газа для бытовых нужд</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82591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сфере жилищно-коммунального комплекса</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S2591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Софинансирование расходов на реализацию полномочий в сфере жилищно-коммунального комплекса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расходов организации за доставку населению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по возмещению расходов организации за доставку населению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"Профилактика правонарушений"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Создание условий для деятельности народных дружин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51200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профилактику правонарушений"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Мероприятия по противодействию злоупотребления наркотиками и их незаконному обороту</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59300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D9300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"Предупреждение и ликвидация чрезвычайных ситуаций"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"Регулирование качества окружающей среды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дезинсекции и дератизации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997136">
              <w:rPr>
                <w:rFonts w:ascii="Times New Roman" w:eastAsia="Times New Roman" w:hAnsi="Times New Roman" w:cs="Times New Roman"/>
                <w:sz w:val="28"/>
                <w:szCs w:val="28"/>
                <w:lang w:eastAsia="ru-RU"/>
              </w:rPr>
              <w:t>Югре</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97136">
              <w:rPr>
                <w:rFonts w:ascii="Times New Roman" w:eastAsia="Times New Roman" w:hAnsi="Times New Roman" w:cs="Times New Roman"/>
                <w:sz w:val="28"/>
                <w:szCs w:val="28"/>
                <w:lang w:eastAsia="ru-RU"/>
              </w:rPr>
              <w:t>межпоселенческих</w:t>
            </w:r>
            <w:proofErr w:type="spellEnd"/>
            <w:r w:rsidRPr="00997136">
              <w:rPr>
                <w:rFonts w:ascii="Times New Roman" w:eastAsia="Times New Roman" w:hAnsi="Times New Roman" w:cs="Times New Roman"/>
                <w:sz w:val="28"/>
                <w:szCs w:val="28"/>
                <w:lang w:eastAsia="ru-RU"/>
              </w:rPr>
              <w:t xml:space="preserve"> и локальных)"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Создание в соответствии с концессионными соглашениями объектов обращения с отходами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мероприятий по созданию в соответствии с концессионными соглашениями объектов обращения с отходами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направленные на поддержку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поддержку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стратегического управления социально-экономическим развитием"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"Проведение Всероссийской переписи населения 2020 года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54690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Проведение Всероссийской переписи населения 2020 года(ФБ)</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Услуги в области информационных технологий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Услуги в области информационных технологий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"Автомобильный транспорт"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повышения качества транспортных услуг автомобильным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"Гражданская авиация"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"Проектирование, строительство, капитальный ремонт и (или) текущий ремонт вертолетных площадок"</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"Водный транспорт"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"Дорожное хозяйство"</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86010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89642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"Дотация в целях стимулирования роста налогового потенциала и качества планирования доходов в муниципальных образованиях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89642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Управление Резервным фондом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резервными средствами бюджета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Условно утвержденные расходы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97000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межбюджетных отношений"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субвенций на осуществление отдельных государственных полномочий"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51180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наказов избирателей депутатам Думы Ханты-Мансийского автономного округа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содержание главы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"Обеспечения исполнения полномочий Думы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"Обеспечения исполнения полномочий Думы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содержание председателя представительного органа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02120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Контрольно-счетной палаты"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Расходы на обеспечение функций органов местного </w:t>
            </w:r>
            <w:r w:rsidRPr="00997136">
              <w:rPr>
                <w:rFonts w:ascii="Times New Roman" w:eastAsia="Times New Roman" w:hAnsi="Times New Roman" w:cs="Times New Roman"/>
                <w:sz w:val="28"/>
                <w:szCs w:val="28"/>
                <w:lang w:eastAsia="ru-RU"/>
              </w:rPr>
              <w:lastRenderedPageBreak/>
              <w:t>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02250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"Благоустройство дворовых территорий"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Благоустройство территорий муниципальных образований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55550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"Содействие этнокультурному многообразию народов России"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"Информационное обеспечение"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гражданского общества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развития гражданских инициатив"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финансовой, имущественной, консультационной поддержки СОНКО"</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"Обеспечение участия проектов городских и сельских поселений в конкурсном отборе проектов инициативного </w:t>
            </w:r>
            <w:proofErr w:type="spellStart"/>
            <w:r w:rsidRPr="00997136">
              <w:rPr>
                <w:rFonts w:ascii="Times New Roman" w:eastAsia="Times New Roman" w:hAnsi="Times New Roman" w:cs="Times New Roman"/>
                <w:sz w:val="28"/>
                <w:szCs w:val="28"/>
                <w:lang w:eastAsia="ru-RU"/>
              </w:rPr>
              <w:t>бюджетирования</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82751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"Информационная открытость деятельности органов местного самоуправления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"Обеспечение деятельности МАУ "Березовский </w:t>
            </w:r>
            <w:proofErr w:type="spellStart"/>
            <w:r w:rsidRPr="00997136">
              <w:rPr>
                <w:rFonts w:ascii="Times New Roman" w:eastAsia="Times New Roman" w:hAnsi="Times New Roman" w:cs="Times New Roman"/>
                <w:sz w:val="28"/>
                <w:szCs w:val="28"/>
                <w:lang w:eastAsia="ru-RU"/>
              </w:rPr>
              <w:t>медиацентр</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"Мониторинг общественного мнения"</w:t>
            </w:r>
          </w:p>
        </w:tc>
      </w:tr>
      <w:tr w:rsidR="00997136" w:rsidRPr="00997136" w:rsidTr="00997136">
        <w:trPr>
          <w:trHeight w:val="270"/>
        </w:trPr>
        <w:tc>
          <w:tcPr>
            <w:tcW w:w="496" w:type="dxa"/>
            <w:tcBorders>
              <w:top w:val="nil"/>
              <w:left w:val="single" w:sz="8" w:space="0" w:color="auto"/>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8"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46" w:rsidRDefault="00DB1646" w:rsidP="009B641B">
      <w:pPr>
        <w:spacing w:after="0" w:line="240" w:lineRule="auto"/>
      </w:pPr>
      <w:r>
        <w:separator/>
      </w:r>
    </w:p>
  </w:endnote>
  <w:endnote w:type="continuationSeparator" w:id="1">
    <w:p w:rsidR="00DB1646" w:rsidRDefault="00DB1646"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46" w:rsidRDefault="00DB1646" w:rsidP="009B641B">
      <w:pPr>
        <w:spacing w:after="0" w:line="240" w:lineRule="auto"/>
      </w:pPr>
      <w:r>
        <w:separator/>
      </w:r>
    </w:p>
  </w:footnote>
  <w:footnote w:type="continuationSeparator" w:id="1">
    <w:p w:rsidR="00DB1646" w:rsidRDefault="00DB1646"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46" w:rsidRPr="00701952" w:rsidRDefault="00DB1646"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5297"/>
  </w:hdrShapeDefaults>
  <w:footnotePr>
    <w:footnote w:id="0"/>
    <w:footnote w:id="1"/>
  </w:footnotePr>
  <w:endnotePr>
    <w:endnote w:id="0"/>
    <w:endnote w:id="1"/>
  </w:endnotePr>
  <w:compat/>
  <w:rsids>
    <w:rsidRoot w:val="009B641B"/>
    <w:rsid w:val="00004D4B"/>
    <w:rsid w:val="000053B8"/>
    <w:rsid w:val="00054914"/>
    <w:rsid w:val="0006702E"/>
    <w:rsid w:val="000A5526"/>
    <w:rsid w:val="000E3A63"/>
    <w:rsid w:val="00113084"/>
    <w:rsid w:val="001247D0"/>
    <w:rsid w:val="0016564C"/>
    <w:rsid w:val="001813C1"/>
    <w:rsid w:val="001C19EB"/>
    <w:rsid w:val="001C565E"/>
    <w:rsid w:val="001C753A"/>
    <w:rsid w:val="002411F3"/>
    <w:rsid w:val="00263CCD"/>
    <w:rsid w:val="002D7015"/>
    <w:rsid w:val="003133C6"/>
    <w:rsid w:val="0034212D"/>
    <w:rsid w:val="00374172"/>
    <w:rsid w:val="00376A4B"/>
    <w:rsid w:val="00387793"/>
    <w:rsid w:val="00387FB0"/>
    <w:rsid w:val="003D2267"/>
    <w:rsid w:val="003E3F14"/>
    <w:rsid w:val="004164C2"/>
    <w:rsid w:val="00425BD6"/>
    <w:rsid w:val="004626EE"/>
    <w:rsid w:val="0047377B"/>
    <w:rsid w:val="00474FFA"/>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20C34"/>
    <w:rsid w:val="0086369D"/>
    <w:rsid w:val="008A5DBF"/>
    <w:rsid w:val="008C1786"/>
    <w:rsid w:val="008F0EA5"/>
    <w:rsid w:val="00910F9C"/>
    <w:rsid w:val="009220BF"/>
    <w:rsid w:val="00934527"/>
    <w:rsid w:val="009631F1"/>
    <w:rsid w:val="00971E0C"/>
    <w:rsid w:val="00997136"/>
    <w:rsid w:val="009A5A34"/>
    <w:rsid w:val="009B641B"/>
    <w:rsid w:val="009D38DD"/>
    <w:rsid w:val="00A111F7"/>
    <w:rsid w:val="00A2568F"/>
    <w:rsid w:val="00A43DC1"/>
    <w:rsid w:val="00A702EF"/>
    <w:rsid w:val="00AA0FED"/>
    <w:rsid w:val="00AB428E"/>
    <w:rsid w:val="00AC47DA"/>
    <w:rsid w:val="00AD5B9C"/>
    <w:rsid w:val="00AE3D98"/>
    <w:rsid w:val="00B13543"/>
    <w:rsid w:val="00B42BAA"/>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B1646"/>
    <w:rsid w:val="00DC6704"/>
    <w:rsid w:val="00E705B4"/>
    <w:rsid w:val="00EF1A03"/>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945573957">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2</cp:revision>
  <cp:lastPrinted>2020-07-31T05:37:00Z</cp:lastPrinted>
  <dcterms:created xsi:type="dcterms:W3CDTF">2021-08-10T13:29:00Z</dcterms:created>
  <dcterms:modified xsi:type="dcterms:W3CDTF">2021-08-10T13:29:00Z</dcterms:modified>
</cp:coreProperties>
</file>