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EB" w:rsidRDefault="001F51EB" w:rsidP="001F51EB">
      <w:pPr>
        <w:widowControl w:val="0"/>
        <w:autoSpaceDE w:val="0"/>
        <w:autoSpaceDN w:val="0"/>
        <w:spacing w:before="220"/>
        <w:ind w:firstLine="539"/>
        <w:contextualSpacing/>
        <w:jc w:val="both"/>
      </w:pPr>
      <w:r w:rsidRPr="003C40C1">
        <w:rPr>
          <w:b/>
        </w:rPr>
        <w:t>В какой форме должен быть заключен договор на оказание услуг между заказчиком - юридическим лицом и исполнителем - физическим лицом, применяющим специальный налоговый режим «Налог на профессиональный доход», чтобы заказчик имел право учесть в расходах затраты на оплату оказанных услуг.</w:t>
      </w:r>
      <w:bookmarkStart w:id="0" w:name="_GoBack"/>
      <w:bookmarkEnd w:id="0"/>
    </w:p>
    <w:p w:rsidR="001F51EB" w:rsidRPr="003C40C1" w:rsidRDefault="001F51EB" w:rsidP="001F51EB">
      <w:pPr>
        <w:widowControl w:val="0"/>
        <w:autoSpaceDE w:val="0"/>
        <w:autoSpaceDN w:val="0"/>
        <w:spacing w:before="220"/>
        <w:ind w:firstLine="539"/>
        <w:contextualSpacing/>
        <w:jc w:val="both"/>
      </w:pPr>
      <w:r w:rsidRPr="003C40C1">
        <w:t xml:space="preserve">Согласно </w:t>
      </w:r>
      <w:hyperlink r:id="rId5" w:history="1">
        <w:r w:rsidRPr="003C40C1">
          <w:rPr>
            <w:color w:val="0D0D0D" w:themeColor="text1" w:themeTint="F2"/>
          </w:rPr>
          <w:t>пункту 1 статьи 158</w:t>
        </w:r>
      </w:hyperlink>
      <w:r w:rsidRPr="003C40C1">
        <w:rPr>
          <w:color w:val="0D0D0D" w:themeColor="text1" w:themeTint="F2"/>
        </w:rPr>
        <w:t xml:space="preserve"> Граж</w:t>
      </w:r>
      <w:r w:rsidRPr="003C40C1">
        <w:t>данского кодекса Российской Федерации (далее - ГК РФ) сделки (далее также - договоры) совершаются устно или в письменной форме (простой или нотариальной).</w:t>
      </w:r>
    </w:p>
    <w:p w:rsidR="001F51EB" w:rsidRPr="003C40C1" w:rsidRDefault="001F51EB" w:rsidP="001F51EB">
      <w:pPr>
        <w:widowControl w:val="0"/>
        <w:autoSpaceDE w:val="0"/>
        <w:autoSpaceDN w:val="0"/>
        <w:spacing w:before="220"/>
        <w:ind w:firstLine="539"/>
        <w:contextualSpacing/>
        <w:jc w:val="both"/>
      </w:pPr>
      <w:r w:rsidRPr="003C40C1">
        <w:t xml:space="preserve">В </w:t>
      </w:r>
      <w:r w:rsidRPr="003C40C1">
        <w:rPr>
          <w:color w:val="0D0D0D" w:themeColor="text1" w:themeTint="F2"/>
        </w:rPr>
        <w:t xml:space="preserve">соответствии с </w:t>
      </w:r>
      <w:hyperlink r:id="rId6" w:history="1">
        <w:r w:rsidRPr="003C40C1">
          <w:rPr>
            <w:color w:val="0D0D0D" w:themeColor="text1" w:themeTint="F2"/>
          </w:rPr>
          <w:t>пунктом 2 статьи 159</w:t>
        </w:r>
      </w:hyperlink>
      <w:r w:rsidRPr="003C40C1">
        <w:rPr>
          <w:color w:val="0D0D0D" w:themeColor="text1" w:themeTint="F2"/>
        </w:rPr>
        <w:t xml:space="preserve"> ГК </w:t>
      </w:r>
      <w:r w:rsidRPr="003C40C1">
        <w:t xml:space="preserve">РФ, если иное не установлено соглашением сторон, могут совершаться устно все сделки, исполняемые при самом их совершении, за исключением сделок, для которых установлена нотариальная форма, и сделок, несоблюдение простой письменной </w:t>
      </w:r>
      <w:proofErr w:type="gramStart"/>
      <w:r w:rsidRPr="003C40C1">
        <w:t>формы</w:t>
      </w:r>
      <w:proofErr w:type="gramEnd"/>
      <w:r w:rsidRPr="003C40C1">
        <w:t xml:space="preserve"> которых влечет их недействительность.</w:t>
      </w:r>
    </w:p>
    <w:p w:rsidR="001F51EB" w:rsidRPr="003C40C1" w:rsidRDefault="001F51EB" w:rsidP="001F51EB">
      <w:pPr>
        <w:widowControl w:val="0"/>
        <w:autoSpaceDE w:val="0"/>
        <w:autoSpaceDN w:val="0"/>
        <w:spacing w:before="220"/>
        <w:ind w:firstLine="539"/>
        <w:contextualSpacing/>
        <w:jc w:val="both"/>
      </w:pPr>
      <w:r w:rsidRPr="003C40C1">
        <w:t xml:space="preserve">В </w:t>
      </w:r>
      <w:r w:rsidRPr="003C40C1">
        <w:rPr>
          <w:color w:val="0D0D0D" w:themeColor="text1" w:themeTint="F2"/>
        </w:rPr>
        <w:t xml:space="preserve">соответствии с </w:t>
      </w:r>
      <w:hyperlink r:id="rId7" w:history="1">
        <w:r w:rsidRPr="003C40C1">
          <w:rPr>
            <w:color w:val="0D0D0D" w:themeColor="text1" w:themeTint="F2"/>
          </w:rPr>
          <w:t>пунктом 1 статьи 161</w:t>
        </w:r>
      </w:hyperlink>
      <w:r w:rsidRPr="003C40C1">
        <w:rPr>
          <w:color w:val="0D0D0D" w:themeColor="text1" w:themeTint="F2"/>
        </w:rPr>
        <w:t xml:space="preserve"> ГК РФ должны </w:t>
      </w:r>
      <w:r w:rsidRPr="003C40C1">
        <w:t>совершаться в простой письменной форме, за исключением сделок, требующих нотариального удостоверения:</w:t>
      </w:r>
    </w:p>
    <w:p w:rsidR="001F51EB" w:rsidRPr="003C40C1" w:rsidRDefault="001F51EB" w:rsidP="001F51EB">
      <w:pPr>
        <w:widowControl w:val="0"/>
        <w:autoSpaceDE w:val="0"/>
        <w:autoSpaceDN w:val="0"/>
        <w:spacing w:before="220"/>
        <w:ind w:firstLine="539"/>
        <w:contextualSpacing/>
        <w:jc w:val="both"/>
      </w:pPr>
      <w:r w:rsidRPr="003C40C1">
        <w:t>1) сделки юридических лиц между собой и с гражданами;</w:t>
      </w:r>
    </w:p>
    <w:p w:rsidR="001F51EB" w:rsidRPr="003C40C1" w:rsidRDefault="001F51EB" w:rsidP="001F51EB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color w:val="0D0D0D" w:themeColor="text1" w:themeTint="F2"/>
        </w:rPr>
      </w:pPr>
      <w:r w:rsidRPr="003C40C1">
        <w:t xml:space="preserve">2) </w:t>
      </w:r>
      <w:r w:rsidRPr="003C40C1">
        <w:rPr>
          <w:color w:val="0D0D0D" w:themeColor="text1" w:themeTint="F2"/>
        </w:rPr>
        <w:t>сделки граждан между собой на сумму, превышающую десять тысяч рублей, а в случаях, предусмотренных законом, - независимо от суммы сделки.</w:t>
      </w:r>
    </w:p>
    <w:p w:rsidR="001F51EB" w:rsidRPr="003C40C1" w:rsidRDefault="001F51EB" w:rsidP="001F51EB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color w:val="0D0D0D" w:themeColor="text1" w:themeTint="F2"/>
        </w:rPr>
      </w:pPr>
      <w:hyperlink r:id="rId8" w:history="1">
        <w:r w:rsidRPr="003C40C1">
          <w:rPr>
            <w:color w:val="0D0D0D" w:themeColor="text1" w:themeTint="F2"/>
          </w:rPr>
          <w:t>Пунктом 2 статьи 161</w:t>
        </w:r>
      </w:hyperlink>
      <w:r w:rsidRPr="003C40C1">
        <w:rPr>
          <w:color w:val="0D0D0D" w:themeColor="text1" w:themeTint="F2"/>
        </w:rPr>
        <w:t xml:space="preserve"> ГК РФ предусмотрено, что соблюдение простой письменной формы не требуется для сделок, которые в соответствии со </w:t>
      </w:r>
      <w:hyperlink r:id="rId9" w:history="1">
        <w:r w:rsidRPr="003C40C1">
          <w:rPr>
            <w:color w:val="0D0D0D" w:themeColor="text1" w:themeTint="F2"/>
          </w:rPr>
          <w:t>статьей 159</w:t>
        </w:r>
      </w:hyperlink>
      <w:r w:rsidRPr="003C40C1">
        <w:rPr>
          <w:color w:val="0D0D0D" w:themeColor="text1" w:themeTint="F2"/>
        </w:rPr>
        <w:t xml:space="preserve"> ГК РФ могут быть совершены устно.</w:t>
      </w:r>
    </w:p>
    <w:p w:rsidR="001F51EB" w:rsidRPr="003C40C1" w:rsidRDefault="001F51EB" w:rsidP="001F51EB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color w:val="0D0D0D" w:themeColor="text1" w:themeTint="F2"/>
        </w:rPr>
      </w:pPr>
      <w:r w:rsidRPr="003C40C1">
        <w:rPr>
          <w:color w:val="0D0D0D" w:themeColor="text1" w:themeTint="F2"/>
        </w:rPr>
        <w:t xml:space="preserve">Следует отметить, что согласно </w:t>
      </w:r>
      <w:hyperlink r:id="rId10" w:history="1">
        <w:r w:rsidRPr="003C40C1">
          <w:rPr>
            <w:color w:val="0D0D0D" w:themeColor="text1" w:themeTint="F2"/>
          </w:rPr>
          <w:t>пункту 2 статьи 162</w:t>
        </w:r>
      </w:hyperlink>
      <w:r w:rsidRPr="003C40C1">
        <w:rPr>
          <w:color w:val="0D0D0D" w:themeColor="text1" w:themeTint="F2"/>
        </w:rPr>
        <w:t xml:space="preserve"> ГК РФ несоблюдение простой письменной формы сделки влечет ее недействительность только в случаях, прямо указанных в законе или в соглашении сторон.</w:t>
      </w:r>
    </w:p>
    <w:p w:rsidR="001F51EB" w:rsidRPr="003C40C1" w:rsidRDefault="001F51EB" w:rsidP="001F51EB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color w:val="0D0D0D" w:themeColor="text1" w:themeTint="F2"/>
        </w:rPr>
      </w:pPr>
      <w:r w:rsidRPr="003C40C1">
        <w:rPr>
          <w:color w:val="0D0D0D" w:themeColor="text1" w:themeTint="F2"/>
        </w:rPr>
        <w:t xml:space="preserve">На основании </w:t>
      </w:r>
      <w:hyperlink r:id="rId11" w:history="1">
        <w:r w:rsidRPr="003C40C1">
          <w:rPr>
            <w:color w:val="0D0D0D" w:themeColor="text1" w:themeTint="F2"/>
          </w:rPr>
          <w:t>пункта 2 статьи 432</w:t>
        </w:r>
      </w:hyperlink>
      <w:r w:rsidRPr="003C40C1">
        <w:rPr>
          <w:color w:val="0D0D0D" w:themeColor="text1" w:themeTint="F2"/>
        </w:rPr>
        <w:t xml:space="preserve"> ГК РФ договор заключается посредством направления оферты (предложения заключить договор) одной из сторон и ее акцепта (принятия предложения) другой стороной. При этом договор признается заключенным в момент получения лицом, направившим оферту, ее акцепта (</w:t>
      </w:r>
      <w:hyperlink r:id="rId12" w:history="1">
        <w:r w:rsidRPr="003C40C1">
          <w:rPr>
            <w:color w:val="0D0D0D" w:themeColor="text1" w:themeTint="F2"/>
          </w:rPr>
          <w:t>пункт 1 статьи 433</w:t>
        </w:r>
      </w:hyperlink>
      <w:r w:rsidRPr="003C40C1">
        <w:rPr>
          <w:color w:val="0D0D0D" w:themeColor="text1" w:themeTint="F2"/>
        </w:rPr>
        <w:t xml:space="preserve"> ГК РФ).</w:t>
      </w:r>
    </w:p>
    <w:p w:rsidR="001F51EB" w:rsidRPr="003C40C1" w:rsidRDefault="001F51EB" w:rsidP="001F51EB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color w:val="0D0D0D" w:themeColor="text1" w:themeTint="F2"/>
        </w:rPr>
      </w:pPr>
      <w:r w:rsidRPr="003C40C1">
        <w:rPr>
          <w:color w:val="0D0D0D" w:themeColor="text1" w:themeTint="F2"/>
        </w:rPr>
        <w:t xml:space="preserve">Согласно </w:t>
      </w:r>
      <w:hyperlink r:id="rId13" w:history="1">
        <w:r w:rsidRPr="003C40C1">
          <w:rPr>
            <w:color w:val="0D0D0D" w:themeColor="text1" w:themeTint="F2"/>
          </w:rPr>
          <w:t>пункту 2 статьи 434</w:t>
        </w:r>
      </w:hyperlink>
      <w:r w:rsidRPr="003C40C1">
        <w:rPr>
          <w:color w:val="0D0D0D" w:themeColor="text1" w:themeTint="F2"/>
        </w:rPr>
        <w:t xml:space="preserve"> ГК РФ договор в письменной форме может быть заключен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договору.</w:t>
      </w:r>
    </w:p>
    <w:p w:rsidR="001F51EB" w:rsidRPr="003C40C1" w:rsidRDefault="001F51EB" w:rsidP="001F51EB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color w:val="0D0D0D" w:themeColor="text1" w:themeTint="F2"/>
        </w:rPr>
      </w:pPr>
      <w:r w:rsidRPr="003C40C1">
        <w:rPr>
          <w:color w:val="0D0D0D" w:themeColor="text1" w:themeTint="F2"/>
        </w:rPr>
        <w:t>Электронным документом, передаваемым по каналам связи, признается информация, подготовленная, отправленная, полученная или хранимая с помощью электронных, магнитных, оптических либо аналогичных средств, включая обмен информацией в электронной форме и электронную почту.</w:t>
      </w:r>
    </w:p>
    <w:p w:rsidR="001F51EB" w:rsidRPr="003C40C1" w:rsidRDefault="001F51EB" w:rsidP="001F51EB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color w:val="0D0D0D" w:themeColor="text1" w:themeTint="F2"/>
        </w:rPr>
      </w:pPr>
      <w:r w:rsidRPr="003C40C1">
        <w:rPr>
          <w:color w:val="0D0D0D" w:themeColor="text1" w:themeTint="F2"/>
        </w:rPr>
        <w:t xml:space="preserve">В соответствии с </w:t>
      </w:r>
      <w:hyperlink r:id="rId14" w:history="1">
        <w:r w:rsidRPr="003C40C1">
          <w:rPr>
            <w:color w:val="0D0D0D" w:themeColor="text1" w:themeTint="F2"/>
          </w:rPr>
          <w:t>пунктом 3 статьи 434</w:t>
        </w:r>
      </w:hyperlink>
      <w:r w:rsidRPr="003C40C1">
        <w:rPr>
          <w:color w:val="0D0D0D" w:themeColor="text1" w:themeTint="F2"/>
        </w:rPr>
        <w:t xml:space="preserve"> ГК РФ письменная форма договора считается соблюденной, если письменное предложение заключить договор принято в порядке, предусмотренном </w:t>
      </w:r>
      <w:hyperlink r:id="rId15" w:history="1">
        <w:r w:rsidRPr="003C40C1">
          <w:rPr>
            <w:color w:val="0D0D0D" w:themeColor="text1" w:themeTint="F2"/>
          </w:rPr>
          <w:t>пунктом 3 статьи 438</w:t>
        </w:r>
      </w:hyperlink>
      <w:r w:rsidRPr="003C40C1">
        <w:rPr>
          <w:color w:val="0D0D0D" w:themeColor="text1" w:themeTint="F2"/>
        </w:rPr>
        <w:t xml:space="preserve"> ГК РФ.</w:t>
      </w:r>
    </w:p>
    <w:p w:rsidR="001F51EB" w:rsidRPr="003C40C1" w:rsidRDefault="001F51EB" w:rsidP="001F51EB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color w:val="0D0D0D" w:themeColor="text1" w:themeTint="F2"/>
        </w:rPr>
      </w:pPr>
      <w:r w:rsidRPr="003C40C1">
        <w:rPr>
          <w:color w:val="0D0D0D" w:themeColor="text1" w:themeTint="F2"/>
        </w:rPr>
        <w:t xml:space="preserve">Содержащее все существенные условия договора предложение, из которого усматривается воля лица, делающего предложение, заключить договор на указанных в предложении условиях с любым, кто отзовется, признается на основании </w:t>
      </w:r>
      <w:hyperlink r:id="rId16" w:history="1">
        <w:r w:rsidRPr="003C40C1">
          <w:rPr>
            <w:color w:val="0D0D0D" w:themeColor="text1" w:themeTint="F2"/>
          </w:rPr>
          <w:t>пункта 2 статьи 437</w:t>
        </w:r>
      </w:hyperlink>
      <w:r w:rsidRPr="003C40C1">
        <w:rPr>
          <w:color w:val="0D0D0D" w:themeColor="text1" w:themeTint="F2"/>
        </w:rPr>
        <w:t xml:space="preserve"> ГК РФ офертой (публичная оферта).</w:t>
      </w:r>
    </w:p>
    <w:p w:rsidR="001F51EB" w:rsidRPr="003C40C1" w:rsidRDefault="001F51EB" w:rsidP="001F51EB">
      <w:pPr>
        <w:widowControl w:val="0"/>
        <w:autoSpaceDE w:val="0"/>
        <w:autoSpaceDN w:val="0"/>
        <w:spacing w:before="220"/>
        <w:ind w:firstLine="539"/>
        <w:contextualSpacing/>
        <w:jc w:val="both"/>
      </w:pPr>
      <w:proofErr w:type="gramStart"/>
      <w:r w:rsidRPr="003C40C1">
        <w:rPr>
          <w:color w:val="0D0D0D" w:themeColor="text1" w:themeTint="F2"/>
        </w:rPr>
        <w:t xml:space="preserve">При этом в соответствии с </w:t>
      </w:r>
      <w:hyperlink r:id="rId17" w:history="1">
        <w:r w:rsidRPr="003C40C1">
          <w:rPr>
            <w:color w:val="0D0D0D" w:themeColor="text1" w:themeTint="F2"/>
          </w:rPr>
          <w:t>пунктом 3 статьи 438</w:t>
        </w:r>
      </w:hyperlink>
      <w:r w:rsidRPr="003C40C1">
        <w:rPr>
          <w:color w:val="0D0D0D" w:themeColor="text1" w:themeTint="F2"/>
        </w:rPr>
        <w:t xml:space="preserve"> ГК РФ совершение лицом, получившим оферту, в срок, установленный для ее </w:t>
      </w:r>
      <w:r w:rsidRPr="003C40C1">
        <w:t>акцепта, действий по выполнению указанных в ней условий договора (отгрузка товаров, предоставление услуг, выполнение работ, уплата соответствующей суммы и т.п.) считается акцептом, если иное не предусмотрено законом, иными правовыми актами или не указано в оферте.</w:t>
      </w:r>
      <w:proofErr w:type="gramEnd"/>
    </w:p>
    <w:p w:rsidR="00D9047E" w:rsidRDefault="001F51EB" w:rsidP="001F51EB">
      <w:r w:rsidRPr="003C40C1">
        <w:t>(Письмо  Федеральной налоговой службы  от 20 февраля 2019 г. N СД-4-3/2899@).</w:t>
      </w:r>
    </w:p>
    <w:sectPr w:rsidR="00D9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EB"/>
    <w:rsid w:val="001F51EB"/>
    <w:rsid w:val="00D9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DBDFBA52A6D170EDC072B22FBB27D7F0B7ADE333AE480A32D4E2AC71C7E7B907F4D115B659B24302038C2ED7871A494B08D9E32BFD6C54KE5EI" TargetMode="External"/><Relationship Id="rId13" Type="http://schemas.openxmlformats.org/officeDocument/2006/relationships/hyperlink" Target="consultantplus://offline/ref=C2DBDFBA52A6D170EDC072B22FBB27D7F0B7ADE333AE480A32D4E2AC71C7E7B907F4D115B65EBC480F5C893BC6DF154E5016D1F537FF6EK556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DBDFBA52A6D170EDC072B22FBB27D7F0B7ADE333AE480A32D4E2AC71C7E7B907F4D115B659B24307038C2ED7871A494B08D9E32BFD6C54KE5EI" TargetMode="External"/><Relationship Id="rId12" Type="http://schemas.openxmlformats.org/officeDocument/2006/relationships/hyperlink" Target="consultantplus://offline/ref=C2DBDFBA52A6D170EDC072B22FBB27D7F0B7ADE333AE480A32D4E2AC71C7E7B907F4D115B65BBB4407038C2ED7871A494B08D9E32BFD6C54KE5EI" TargetMode="External"/><Relationship Id="rId17" Type="http://schemas.openxmlformats.org/officeDocument/2006/relationships/hyperlink" Target="consultantplus://offline/ref=C2DBDFBA52A6D170EDC072B22FBB27D7F0B7ADE333AE480A32D4E2AC71C7E7B907F4D115B65BBB4601038C2ED7871A494B08D9E32BFD6C54KE5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DBDFBA52A6D170EDC072B22FBB27D7F0B7ADE333AE480A32D4E2AC71C7E7B907F4D115B65BBB4604038C2ED7871A494B08D9E32BFD6C54KE5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DBDFBA52A6D170EDC072B22FBB27D7F0B7ADE333AE480A32D4E2AC71C7E7B907F4D115B659B24007038C2ED7871A494B08D9E32BFD6C54KE5EI" TargetMode="External"/><Relationship Id="rId11" Type="http://schemas.openxmlformats.org/officeDocument/2006/relationships/hyperlink" Target="consultantplus://offline/ref=C2DBDFBA52A6D170EDC072B22FBB27D7F0B7ADE333AE480A32D4E2AC71C7E7B907F4D115B65BBB4405038C2ED7871A494B08D9E32BFD6C54KE5EI" TargetMode="External"/><Relationship Id="rId5" Type="http://schemas.openxmlformats.org/officeDocument/2006/relationships/hyperlink" Target="consultantplus://offline/ref=C2DBDFBA52A6D170EDC072B22FBB27D7F0B7ADE333AE480A32D4E2AC71C7E7B907F4D115B659B2410C038C2ED7871A494B08D9E32BFD6C54KE5EI" TargetMode="External"/><Relationship Id="rId15" Type="http://schemas.openxmlformats.org/officeDocument/2006/relationships/hyperlink" Target="consultantplus://offline/ref=C2DBDFBA52A6D170EDC072B22FBB27D7F0B7ADE333AE480A32D4E2AC71C7E7B907F4D115B65BBB4601038C2ED7871A494B08D9E32BFD6C54KE5EI" TargetMode="External"/><Relationship Id="rId10" Type="http://schemas.openxmlformats.org/officeDocument/2006/relationships/hyperlink" Target="consultantplus://offline/ref=C2DBDFBA52A6D170EDC072B22FBB27D7F0B7ADE333AE480A32D4E2AC71C7E7B907F4D115B659B2430D038C2ED7871A494B08D9E32BFD6C54KE5E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DBDFBA52A6D170EDC072B22FBB27D7F0B7ADE333AE480A32D4E2AC71C7E7B907F4D115B659B24005038C2ED7871A494B08D9E32BFD6C54KE5EI" TargetMode="External"/><Relationship Id="rId14" Type="http://schemas.openxmlformats.org/officeDocument/2006/relationships/hyperlink" Target="consultantplus://offline/ref=C2DBDFBA52A6D170EDC072B22FBB27D7F0B7ADE333AE480A32D4E2AC71C7E7B907F4D115B65BBB4704038C2ED7871A494B08D9E32BFD6C54KE5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2020-08-26T09:07:00Z</dcterms:created>
  <dcterms:modified xsi:type="dcterms:W3CDTF">2020-08-26T09:07:00Z</dcterms:modified>
</cp:coreProperties>
</file>