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F6" w:rsidRPr="00D01BCF" w:rsidRDefault="00F217F6" w:rsidP="00F217F6">
      <w:pPr>
        <w:pStyle w:val="a3"/>
        <w:spacing w:after="0"/>
        <w:ind w:left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CF">
        <w:rPr>
          <w:rFonts w:ascii="Times New Roman" w:hAnsi="Times New Roman" w:cs="Times New Roman"/>
          <w:b/>
          <w:sz w:val="24"/>
          <w:szCs w:val="24"/>
        </w:rPr>
        <w:t>Информация за 2020 год</w:t>
      </w:r>
    </w:p>
    <w:p w:rsidR="00F217F6" w:rsidRPr="00D01BCF" w:rsidRDefault="00F217F6" w:rsidP="00F217F6">
      <w:pPr>
        <w:pStyle w:val="a3"/>
        <w:spacing w:after="0"/>
        <w:ind w:left="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7F6" w:rsidRPr="00D01BCF" w:rsidRDefault="00F217F6" w:rsidP="00F217F6">
      <w:pPr>
        <w:shd w:val="clear" w:color="auto" w:fill="FFFFFF"/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Развитие и поддержка малого и среднего бизнеса является одним из приоритетных направлений деятельности муниципальных органов власти.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По состоянию на 10 января 2021 года на территории Березовского района в Едином реестре субъектов малого и среднего предпринимательства Федеральной налоговой службы Российской Федерации состоят 515 субъектов малого и среднего предпринимательства, в том числе: 109 юридических лиц, 406 индивидуальных предпринимателя. 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В 2020 году произошел рост числа субъектов предпринимательства на 1,38%. Положительной динамики удалось достичь благодаря всесторонним мерам поддержки, предоставленным малому и среднему бизнесу Березовского района в условиях распространения новой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инфекции (COVID-19).</w:t>
      </w:r>
    </w:p>
    <w:p w:rsidR="00F217F6" w:rsidRPr="00D01BCF" w:rsidRDefault="00F217F6" w:rsidP="00F217F6">
      <w:pPr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7F6" w:rsidRPr="00D01BCF" w:rsidRDefault="00F217F6" w:rsidP="00F217F6">
      <w:pPr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Территориальное распределение субъектов предпринимательства на территории Березовского района </w:t>
      </w:r>
    </w:p>
    <w:p w:rsidR="00F217F6" w:rsidRPr="00D01BCF" w:rsidRDefault="00F217F6" w:rsidP="00F217F6">
      <w:pPr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552"/>
      </w:tblGrid>
      <w:tr w:rsidR="00F217F6" w:rsidRPr="00D01BCF" w:rsidTr="004E0D8D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субъектов, ед.</w:t>
            </w:r>
          </w:p>
        </w:tc>
      </w:tr>
      <w:tr w:rsidR="00F217F6" w:rsidRPr="00D01BCF" w:rsidTr="004E0D8D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F217F6" w:rsidRPr="00D01BCF" w:rsidTr="004E0D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поселение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</w:tr>
      <w:tr w:rsidR="00F217F6" w:rsidRPr="00D01BCF" w:rsidTr="004E0D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</w:tr>
      <w:tr w:rsidR="00F217F6" w:rsidRPr="00D01BCF" w:rsidTr="004E0D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Приполярный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217F6" w:rsidRPr="00D01BCF" w:rsidTr="004E0D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217F6" w:rsidRPr="00D01BCF" w:rsidTr="004E0D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217F6" w:rsidRPr="00D01BCF" w:rsidTr="004E0D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F217F6" w:rsidRPr="00D01BCF" w:rsidTr="004E0D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6" w:rsidRPr="00D01BCF" w:rsidRDefault="00F217F6" w:rsidP="004E0D8D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515</w:t>
            </w:r>
          </w:p>
        </w:tc>
      </w:tr>
    </w:tbl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В отраслевой структуре субъектов малого и среднего предпринимательства наибольшая доля приходится на оптовую и розничную торговлю – 47%, транспортные услуги и грузовые перевозки занимают 13%, доля предприятий бытовых услуг составляет – 10%.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Статус «социального предприятия» имеет 1 субъект предпринимательства, предоставляющий услуги пожилым гражданам.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С 2020 года Ханты-Мансийский автономный округ – Югра присоединился к эксперименту по введению специального налогового режима «Налог на профессиональный доход» для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граждан. По итогам 2020 года число граждан Березовского района, применяющих специальный налоговый режим «Налог на профессиональный доход», составляет 199 человек, что превышает установленное для района плановое значение показателя на 27% (план – 157 человек).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В целях создания условий для развития малого и среднего предпринимательства в Березовском районе действует муниципальная программа «Развитие экономического потенциала Березовского района», подпрограмма «Развитие малого и среднего предпринимательства, стимулирование инновационной деятельности».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Общий объем средств подпрограммы, направленный на развитие и поддержку малого и среднего бизнеса в 2020 году составил 9 358,00 тыс. рублей, в том числе средства Ханты-Мансийского автономного округа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Югры 8 890,1 тыс. рублей, средства бюджета Березовского района в 467,9 тыс. рублей. Кассовое исполнение бюджетных средств подпрограммы составило 100%.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Через муниципальную программу реализуются национальный проект «Малое и среднее предпринимательство и поддержка индивидуальной предпринимательской инициативы», включающий в себя региональные проекты «Популяризация предпринимательства» и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регионального проекта «Популяризация предпринимательства» в начале 2020 года организована и проведена муниципальная выставка-ярмарка «Ярмарка Березовского уезда». В мероприятии приняли участие 17 субъектов малого предпринимательства, количество посетителей ярмарки составило более 700 человек. </w:t>
      </w:r>
    </w:p>
    <w:p w:rsidR="00F217F6" w:rsidRPr="00D01BCF" w:rsidRDefault="00F217F6" w:rsidP="00F217F6">
      <w:pPr>
        <w:autoSpaceDE w:val="0"/>
        <w:autoSpaceDN w:val="0"/>
        <w:adjustRightInd w:val="0"/>
        <w:spacing w:after="0" w:line="240" w:lineRule="auto"/>
        <w:ind w:left="-567" w:right="-284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BCF">
        <w:rPr>
          <w:rFonts w:ascii="Times New Roman" w:eastAsia="Calibri" w:hAnsi="Times New Roman" w:cs="Times New Roman"/>
          <w:sz w:val="24"/>
          <w:szCs w:val="24"/>
        </w:rPr>
        <w:t>При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предоставлена финансовая поддержка 35 субъектам малого и среднего предпринимательства Березовского района, осуществляющим деятельность в социально значимых видах экономической деятельности, по направлениям: возмещение части арендных платежей, по предоставленным консалтинговым услугам, обязательной и добровольной сертификации (декларированию) продукции, доставка кормов для развития сельскохозяйственных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товаропроизводителей и муки для производства хлеба и хлебобулочных изделий, приобретение оборудования (основных средств). В целях содействия созданию собственного бизнеса предоставлена субсидия 1 начинающему предпринимателю по возмещению части затрат на приобретение оборудования для организации предприятия общественного питания.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Общий объем денежных средств, направленный на реализацию мероприятий региональных проектов за 2020 год составил 5 932,2 тыс. рублей, в том числе средства Ханты-Мансийского автономного округа – Югры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5 635,6 тыс. рублей, средства бюджета Березовского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296,6 тыс. рублей. 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В связи с ухудшением ситуации в результате распространения новой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инфекции (COVID-19), в рамках муниципальной программы предоставлены неотложные меры поддержки 44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инфекции. Субсидии предоставлены на частичную компенсацию затрат по аренде нежилых помещений, находящихся в коммерческой собственности и коммунальным услугам. Всего на реализацию неотложных мер поддержки направлено 3 425,8 тыс. руб., в том числе средства Ханты-Мансийского автономного округа – Югры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3 254,5 тыс. рублей, средства бюджета Березовского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171,3 тыс. рублей. 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Дополнительно субъектам предпринимательства, пострадавшим в результате распространения новой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инфекции, в 2020 году была предоставлена имущественная поддержка в виде отсрочки внесения арендной платы за пользование муниципальным имуществом, а также отсрочка по внесению арендной платы, начисленной по договорам аренды земельных участков, государственная собственность на которые не разграничена, в том числе:</w:t>
      </w:r>
    </w:p>
    <w:p w:rsidR="00F217F6" w:rsidRPr="00D01BCF" w:rsidRDefault="00F217F6" w:rsidP="00F217F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-567" w:right="-284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отсрочка арендных платежей по 16 договорам аренды муниципального имущества, сумма отсроченных платежей составила 2 677,3 тыс. рублей;</w:t>
      </w:r>
    </w:p>
    <w:p w:rsidR="00F217F6" w:rsidRPr="00D01BCF" w:rsidRDefault="00F217F6" w:rsidP="00F217F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-567" w:right="-284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освобождение от арендных платежей по 1 договору аренды на сумму 99,5 тыс. рублей;</w:t>
      </w:r>
    </w:p>
    <w:p w:rsidR="00F217F6" w:rsidRPr="00D01BCF" w:rsidRDefault="00F217F6" w:rsidP="00F217F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-567" w:right="-284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отсрочка 1 субъекту предпринимательства, воспользовавшемуся правом приоритетного выкупа арендованного муниципального имущества, по внесению регулярных платежей, предусмотренных договором купли-продажи, с продлением периода уплаты регулярных платежей в сумме 162,0 тыс. рублей;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- отсрочка 3 субъектам предпринимательства по уплате арендных платежей по 6 земельным участкам на общую сумму 580,2 тыс. рублей.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Управлением Федеральной налоговой службы по Ханты-Мансийскому автономному округу – Югре 168 субъектам малого и среднего предпринимательства Березовского района, ведущим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инфекции, предоставлена субсидия из федерального бюджета в объеме 7 676,4 тыс. рублей на сохранение занятости и оплаты труда своих работников, а также на проведение дезинфекционных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мероприятий.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Фондом поддержки предпринимательства Югры и Фондом «Югорская региональная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организация» предоставлено финансирование на возвратной основе 1 субъекту предпринимательства на сумму 1 190,0 тыс. рублей, а также гарантийная поддержка. 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При содействии  Казенного учреждения Ханты-Мансийского автономного округа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Югры «Березовский центр занятости населения»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центром занятости) с начала 2020 года 2 человека зарегистрировались в качестве индивидуальных предпринимателей. Им предоставлены субсидии по 220 тыс. рублей на открытие собственного бизнеса в сфере производства кондитерских изделий и предоставления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клининговых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Кроме того, центром занятости населения предоставлено возмещение расходов на частичную  оплату труда при организации временного трудоустройства за счет средств окружного и федерального бюджетов в размере 5 407,48 тыс. рублей. Организовано 119 временных рабочих ме</w:t>
      </w:r>
      <w:proofErr w:type="gramStart"/>
      <w:r w:rsidRPr="00D01BCF">
        <w:rPr>
          <w:rFonts w:ascii="Times New Roman" w:eastAsia="Calibri" w:hAnsi="Times New Roman" w:cs="Times New Roman"/>
          <w:sz w:val="24"/>
          <w:szCs w:val="24"/>
        </w:rPr>
        <w:t>ст в сф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ере предоставления услуг розничной торговли, общественного питания, консалтинговых и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клининговых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По итогам 2020 года налоговые поступления в бюджет Березовского района  от субъектов предпринимательства составили 41 052,0 тыс. рублей, плановые назначения исполнены на 102,20 %. Однако, по сравнению с  2019 годом показатель снизился на 5 243,00 тыс. рублей или 11,33 %.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417"/>
        <w:gridCol w:w="1560"/>
        <w:gridCol w:w="1275"/>
      </w:tblGrid>
      <w:tr w:rsidR="00F217F6" w:rsidRPr="00D01BCF" w:rsidTr="004E0D8D">
        <w:trPr>
          <w:trHeight w:val="41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за 2019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за 2020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 к плану 2020 года, %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</w:t>
            </w:r>
          </w:p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к 2019 году</w:t>
            </w:r>
          </w:p>
        </w:tc>
      </w:tr>
      <w:tr w:rsidR="00F217F6" w:rsidRPr="00D01BCF" w:rsidTr="004E0D8D">
        <w:trPr>
          <w:trHeight w:val="412"/>
        </w:trPr>
        <w:tc>
          <w:tcPr>
            <w:tcW w:w="1418" w:type="dxa"/>
            <w:vMerge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абсол</w:t>
            </w:r>
            <w:proofErr w:type="spellEnd"/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выражении, тыс. рублей</w:t>
            </w:r>
          </w:p>
        </w:tc>
        <w:tc>
          <w:tcPr>
            <w:tcW w:w="1275" w:type="dxa"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относит</w:t>
            </w:r>
            <w:proofErr w:type="gramStart"/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01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ыражении, %</w:t>
            </w:r>
          </w:p>
        </w:tc>
      </w:tr>
      <w:tr w:rsidR="00F217F6" w:rsidRPr="00D01BCF" w:rsidTr="004E0D8D">
        <w:tc>
          <w:tcPr>
            <w:tcW w:w="1418" w:type="dxa"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28 206,90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24 147,10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24 655,50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102,11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-3 551,40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87,41</w:t>
            </w:r>
          </w:p>
        </w:tc>
      </w:tr>
      <w:tr w:rsidR="00F217F6" w:rsidRPr="00D01BCF" w:rsidTr="004E0D8D">
        <w:tc>
          <w:tcPr>
            <w:tcW w:w="1418" w:type="dxa"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15 464,00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13 917,40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14 329,40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102,96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-1 134,60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92,66</w:t>
            </w:r>
          </w:p>
        </w:tc>
      </w:tr>
      <w:tr w:rsidR="00F217F6" w:rsidRPr="00D01BCF" w:rsidTr="004E0D8D">
        <w:trPr>
          <w:trHeight w:val="125"/>
        </w:trPr>
        <w:tc>
          <w:tcPr>
            <w:tcW w:w="1418" w:type="dxa"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с/х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291,30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290,80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240,73</w:t>
            </w:r>
          </w:p>
        </w:tc>
      </w:tr>
      <w:tr w:rsidR="00F217F6" w:rsidRPr="00D01BCF" w:rsidTr="004E0D8D">
        <w:trPr>
          <w:trHeight w:val="427"/>
        </w:trPr>
        <w:tc>
          <w:tcPr>
            <w:tcW w:w="1418" w:type="dxa"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2 503,30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1 812,10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1 776,30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98,02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-727,00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70,96</w:t>
            </w:r>
          </w:p>
        </w:tc>
      </w:tr>
      <w:tr w:rsidR="00F217F6" w:rsidRPr="00D01BCF" w:rsidTr="004E0D8D">
        <w:tc>
          <w:tcPr>
            <w:tcW w:w="1418" w:type="dxa"/>
            <w:shd w:val="clear" w:color="auto" w:fill="auto"/>
          </w:tcPr>
          <w:p w:rsidR="00F217F6" w:rsidRPr="00D01BCF" w:rsidRDefault="00F217F6" w:rsidP="004E0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Итого налог на совокупный доход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46 295,00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40 167,90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41 052,0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-5 243,00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7F6" w:rsidRPr="00D01BCF" w:rsidRDefault="00F217F6" w:rsidP="004E0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CF">
              <w:rPr>
                <w:rFonts w:ascii="Times New Roman" w:eastAsia="Calibri" w:hAnsi="Times New Roman" w:cs="Times New Roman"/>
                <w:sz w:val="24"/>
                <w:szCs w:val="24"/>
              </w:rPr>
              <w:t>88,67</w:t>
            </w:r>
          </w:p>
        </w:tc>
      </w:tr>
    </w:tbl>
    <w:p w:rsidR="00F217F6" w:rsidRPr="00D01BCF" w:rsidRDefault="00F217F6" w:rsidP="00F217F6">
      <w:pPr>
        <w:pStyle w:val="a5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7F6" w:rsidRPr="00D01BCF" w:rsidRDefault="00F217F6" w:rsidP="00F217F6">
      <w:pPr>
        <w:pStyle w:val="a5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BCF">
        <w:rPr>
          <w:rFonts w:ascii="Times New Roman" w:eastAsia="Calibri" w:hAnsi="Times New Roman" w:cs="Times New Roman"/>
          <w:sz w:val="24"/>
          <w:szCs w:val="24"/>
        </w:rPr>
        <w:t>Основную долю налоговых поступлений в бюджет Березовского района обеспечило поступление по налогу, взимаемому в связи с применением упрощенной системы налогообложения – 60,06 % от налога на совокупной доход, 102,11 % от плановых назначений.</w:t>
      </w:r>
      <w:proofErr w:type="gramEnd"/>
    </w:p>
    <w:p w:rsidR="00F217F6" w:rsidRPr="00D01BCF" w:rsidRDefault="00F217F6" w:rsidP="00F217F6">
      <w:pPr>
        <w:pStyle w:val="a5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Единый налог на вмененный доход для отдельных видов деятельности составляет 34,91% от налога на совокупной доход, 102,96 % от плановых назначений. </w:t>
      </w:r>
      <w:proofErr w:type="gramEnd"/>
    </w:p>
    <w:p w:rsidR="00F217F6" w:rsidRPr="00D01BCF" w:rsidRDefault="00F217F6" w:rsidP="00F217F6">
      <w:pPr>
        <w:pStyle w:val="a5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патентной системе налогообложения  исполнены на 98,02 %, в связи с перерасчетом суммы налога, подлежащего уплате в 2020 году индивидуальными предпринимателями, осуществляющих деятельность в отраслях, пострадавших в условиях ухудшения ситуации в результате распространения новой </w:t>
      </w:r>
      <w:proofErr w:type="spellStart"/>
      <w:r w:rsidRPr="00D01BC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>Доля муниципального заказа, размещенного у субъектов малого предпринимательства в результате проведения электронных аукционов, в общем годовом объеме закупок, в соответствии со статьей 30 Федерального закона от 05 апреля 2013 года № 44-ФЗ  составила 91 % (в 2019 году 40%) 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lastRenderedPageBreak/>
        <w:t>В 2020 году ИП Давыдков Ю.В. принял участие в первом национальном  конкурсе региональных брендов продуктов питания «Вкусы России 2020». В номинации «Ярмарка вкуса» предприниматель занял 3 место.</w:t>
      </w:r>
    </w:p>
    <w:p w:rsidR="00F217F6" w:rsidRPr="00D01BCF" w:rsidRDefault="00F217F6" w:rsidP="00F217F6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За содействие в защите прав и законных интересов субъектов предпринимательской деятельности Березовского района ИП Лаврентьева Л.А. награждена благодарственным письмом Уполномоченного по защите прав предпринимателей </w:t>
      </w:r>
      <w:proofErr w:type="gramStart"/>
      <w:r w:rsidRPr="00D01B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01BCF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D01BCF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– Югре.</w:t>
      </w:r>
    </w:p>
    <w:p w:rsidR="005A647E" w:rsidRDefault="005A647E"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C34"/>
    <w:multiLevelType w:val="hybridMultilevel"/>
    <w:tmpl w:val="52725B8A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6"/>
    <w:rsid w:val="005A647E"/>
    <w:rsid w:val="00F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F6"/>
    <w:pPr>
      <w:ind w:left="720"/>
      <w:contextualSpacing/>
    </w:pPr>
  </w:style>
  <w:style w:type="character" w:customStyle="1" w:styleId="a4">
    <w:name w:val="Без интервала Знак"/>
    <w:aliases w:val="Обрнадзор Знак"/>
    <w:link w:val="a5"/>
    <w:locked/>
    <w:rsid w:val="00F217F6"/>
    <w:rPr>
      <w:lang w:eastAsia="ru-RU"/>
    </w:rPr>
  </w:style>
  <w:style w:type="paragraph" w:styleId="a5">
    <w:name w:val="No Spacing"/>
    <w:aliases w:val="Обрнадзор"/>
    <w:link w:val="a4"/>
    <w:qFormat/>
    <w:rsid w:val="00F217F6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F6"/>
    <w:pPr>
      <w:ind w:left="720"/>
      <w:contextualSpacing/>
    </w:pPr>
  </w:style>
  <w:style w:type="character" w:customStyle="1" w:styleId="a4">
    <w:name w:val="Без интервала Знак"/>
    <w:aliases w:val="Обрнадзор Знак"/>
    <w:link w:val="a5"/>
    <w:locked/>
    <w:rsid w:val="00F217F6"/>
    <w:rPr>
      <w:lang w:eastAsia="ru-RU"/>
    </w:rPr>
  </w:style>
  <w:style w:type="paragraph" w:styleId="a5">
    <w:name w:val="No Spacing"/>
    <w:aliases w:val="Обрнадзор"/>
    <w:link w:val="a4"/>
    <w:qFormat/>
    <w:rsid w:val="00F217F6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2021-03-26T06:29:00Z</dcterms:created>
  <dcterms:modified xsi:type="dcterms:W3CDTF">2021-03-26T06:29:00Z</dcterms:modified>
</cp:coreProperties>
</file>