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93" w:rsidRDefault="008A1193" w:rsidP="008A1193">
      <w:pPr>
        <w:pStyle w:val="ConsPlusNormal"/>
        <w:jc w:val="both"/>
      </w:pPr>
      <w:bookmarkStart w:id="0" w:name="_GoBack"/>
      <w:bookmarkEnd w:id="0"/>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w:t>
      </w:r>
      <w:r w:rsidR="00A2617B" w:rsidRPr="007374AE">
        <w:rPr>
          <w:rFonts w:ascii="Times New Roman" w:hAnsi="Times New Roman" w:cs="Times New Roman"/>
          <w:sz w:val="26"/>
          <w:szCs w:val="26"/>
        </w:rPr>
        <w:lastRenderedPageBreak/>
        <w:t xml:space="preserve">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избирательному округу, одновременно выдвинут на других выборах, проводя</w:t>
      </w:r>
      <w:r w:rsidR="00297EB3" w:rsidRPr="007374AE">
        <w:rPr>
          <w:sz w:val="26"/>
          <w:szCs w:val="26"/>
        </w:rPr>
        <w:t xml:space="preserve">щихся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lastRenderedPageBreak/>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w:t>
      </w:r>
      <w:r w:rsidRPr="007374AE">
        <w:rPr>
          <w:sz w:val="26"/>
          <w:szCs w:val="26"/>
        </w:rPr>
        <w:lastRenderedPageBreak/>
        <w:t xml:space="preserve">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2.22. Реализация товаров, выполнение платных работ и оказание платных услуг гражданами и юридическими лицами для кандидатов, избирательных объединений,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lastRenderedPageBreak/>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w:t>
      </w:r>
      <w:r w:rsidRPr="007374AE">
        <w:rPr>
          <w:sz w:val="26"/>
          <w:szCs w:val="26"/>
        </w:rPr>
        <w:lastRenderedPageBreak/>
        <w:t xml:space="preserve">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3.2. Кандидат, избирательное объединение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lastRenderedPageBreak/>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lastRenderedPageBreak/>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w:t>
      </w:r>
      <w:r w:rsidRPr="007374AE">
        <w:rPr>
          <w:sz w:val="26"/>
          <w:szCs w:val="26"/>
        </w:rPr>
        <w:lastRenderedPageBreak/>
        <w:t>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firstRow="1" w:lastRow="0" w:firstColumn="1" w:lastColumn="0" w:noHBand="0" w:noVBand="1"/>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firstRow="0" w:lastRow="0" w:firstColumn="0" w:lastColumn="0" w:noHBand="0" w:noVBand="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rPr>
                <w:sz w:val="22"/>
                <w:szCs w:val="22"/>
              </w:rPr>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округ-Югра, г.Мегион, ул.Мира,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р/с 00000000000000000000  Ханты-Мансийский РКЦ г.Ханты-Мансийск,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34"/>
              <w:rPr>
                <w:b/>
                <w:bCs/>
                <w:sz w:val="18"/>
                <w:szCs w:val="18"/>
              </w:rPr>
            </w:pPr>
            <w:r w:rsidRPr="00446D04">
              <w:rPr>
                <w:b/>
                <w:bCs/>
                <w:sz w:val="18"/>
                <w:szCs w:val="18"/>
              </w:rP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 xml:space="preserve">АКБ «Промбанк» г.Радужный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 xml:space="preserve">ИБ «Альфа»г.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r w:rsidRPr="00446D04">
              <w:rPr>
                <w:b/>
                <w:bCs/>
                <w:sz w:val="18"/>
                <w:szCs w:val="18"/>
              </w:rPr>
              <w:t>р/с  000000000000000000000</w:t>
            </w:r>
          </w:p>
          <w:p w:rsidR="00446D04" w:rsidRPr="00446D04" w:rsidRDefault="00446D04" w:rsidP="00811793">
            <w:pPr>
              <w:pStyle w:val="ConsNormal"/>
              <w:ind w:firstLine="0"/>
              <w:rPr>
                <w:b/>
                <w:bCs/>
                <w:sz w:val="18"/>
                <w:szCs w:val="18"/>
              </w:rPr>
            </w:pPr>
            <w:r w:rsidRPr="00446D04">
              <w:rPr>
                <w:b/>
                <w:bCs/>
                <w:sz w:val="18"/>
                <w:szCs w:val="18"/>
              </w:rPr>
              <w:t>ОАО «Ханты-Мансийский банк» г.Нижневартовск</w:t>
            </w:r>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размеры расходов фондов, руб</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310AD2">
            <w:pPr>
              <w:jc w:val="right"/>
              <w:rPr>
                <w:color w:val="000000"/>
                <w:sz w:val="22"/>
                <w:szCs w:val="22"/>
              </w:rPr>
            </w:pPr>
            <w:r>
              <w:rPr>
                <w:color w:val="000000"/>
                <w:sz w:val="22"/>
                <w:szCs w:val="22"/>
              </w:rPr>
              <w:t>1</w:t>
            </w:r>
            <w:r w:rsidR="00521996" w:rsidRPr="007374AE">
              <w:rPr>
                <w:color w:val="000000"/>
                <w:sz w:val="22"/>
                <w:szCs w:val="22"/>
              </w:rPr>
              <w:t>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rsidP="00310AD2">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в Ханты-Мансийском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w:t>
                  </w:r>
                  <w:r w:rsidR="00F84E1E">
                    <w:rPr>
                      <w:rFonts w:ascii="Times New Roman" w:hAnsi="Times New Roman" w:cs="Times New Roman"/>
                      <w:b w:val="0"/>
                      <w:bCs w:val="0"/>
                    </w:rPr>
                    <w:t>–</w:t>
                  </w:r>
                  <w:r w:rsidRPr="00446D04">
                    <w:rPr>
                      <w:rFonts w:ascii="Times New Roman" w:hAnsi="Times New Roman" w:cs="Times New Roman"/>
                      <w:b w:val="0"/>
                      <w:bCs w:val="0"/>
                    </w:rPr>
                    <w:t xml:space="preserve">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firstRow="1" w:lastRow="0" w:firstColumn="1" w:lastColumn="0" w:noHBand="0" w:noVBand="1"/>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со спецсчета</w:t>
            </w:r>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со спецсчета</w:t>
            </w:r>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67" w:rsidRDefault="00B57267" w:rsidP="00D40ADE">
      <w:r>
        <w:separator/>
      </w:r>
    </w:p>
  </w:endnote>
  <w:endnote w:type="continuationSeparator" w:id="0">
    <w:p w:rsidR="00B57267" w:rsidRDefault="00B57267"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67" w:rsidRDefault="00B57267" w:rsidP="00D40ADE">
      <w:r>
        <w:separator/>
      </w:r>
    </w:p>
  </w:footnote>
  <w:footnote w:type="continuationSeparator" w:id="0">
    <w:p w:rsidR="00B57267" w:rsidRDefault="00B57267"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E"/>
    <w:rsid w:val="00002AD8"/>
    <w:rsid w:val="00026AEC"/>
    <w:rsid w:val="00030EE8"/>
    <w:rsid w:val="00042AC6"/>
    <w:rsid w:val="00043A83"/>
    <w:rsid w:val="0009769F"/>
    <w:rsid w:val="000E51BB"/>
    <w:rsid w:val="00115CAA"/>
    <w:rsid w:val="001565AE"/>
    <w:rsid w:val="001640F1"/>
    <w:rsid w:val="00174C6D"/>
    <w:rsid w:val="001962D8"/>
    <w:rsid w:val="001A4124"/>
    <w:rsid w:val="001D1FA1"/>
    <w:rsid w:val="001E1BC8"/>
    <w:rsid w:val="002078FC"/>
    <w:rsid w:val="00237180"/>
    <w:rsid w:val="002469AD"/>
    <w:rsid w:val="002479A0"/>
    <w:rsid w:val="00297EB3"/>
    <w:rsid w:val="002E02A7"/>
    <w:rsid w:val="002E383D"/>
    <w:rsid w:val="003102B9"/>
    <w:rsid w:val="00310AD2"/>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601F3"/>
    <w:rsid w:val="00EB78E8"/>
    <w:rsid w:val="00ED4B24"/>
    <w:rsid w:val="00F0667E"/>
    <w:rsid w:val="00F106E2"/>
    <w:rsid w:val="00F16C78"/>
    <w:rsid w:val="00F725E7"/>
    <w:rsid w:val="00F81725"/>
    <w:rsid w:val="00F84E1E"/>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E8F5F-B4B7-419E-A4BB-B1CE634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36</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71</cp:revision>
  <cp:lastPrinted>2016-06-29T10:57:00Z</cp:lastPrinted>
  <dcterms:created xsi:type="dcterms:W3CDTF">2016-06-12T14:33:00Z</dcterms:created>
  <dcterms:modified xsi:type="dcterms:W3CDTF">2019-07-08T05:47:00Z</dcterms:modified>
</cp:coreProperties>
</file>