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4D" w:rsidRPr="00D529CE" w:rsidRDefault="00EC494D" w:rsidP="00D529CE">
      <w:p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NewRomanPSMT" w:hAnsi="TimesNewRomanPSMT" w:cs="TimesNewRomanPSMT"/>
          <w:b/>
          <w:color w:val="auto"/>
          <w:sz w:val="32"/>
          <w:szCs w:val="32"/>
          <w:lang w:val="ru-RU" w:bidi="ar-SA"/>
        </w:rPr>
      </w:pPr>
      <w:r w:rsidRPr="00D529CE">
        <w:rPr>
          <w:rFonts w:ascii="TimesNewRomanPSMT" w:hAnsi="TimesNewRomanPSMT" w:cs="TimesNewRomanPSMT"/>
          <w:b/>
          <w:color w:val="auto"/>
          <w:sz w:val="32"/>
          <w:szCs w:val="32"/>
          <w:lang w:val="ru-RU" w:bidi="ar-SA"/>
        </w:rPr>
        <w:t xml:space="preserve">Информация о ходе реализации </w:t>
      </w:r>
      <w:proofErr w:type="gramStart"/>
      <w:r w:rsidRPr="00D529CE">
        <w:rPr>
          <w:rFonts w:ascii="TimesNewRomanPSMT" w:hAnsi="TimesNewRomanPSMT" w:cs="TimesNewRomanPSMT"/>
          <w:b/>
          <w:color w:val="auto"/>
          <w:sz w:val="32"/>
          <w:szCs w:val="32"/>
          <w:lang w:val="ru-RU" w:bidi="ar-SA"/>
        </w:rPr>
        <w:t>целевых</w:t>
      </w:r>
      <w:proofErr w:type="gramEnd"/>
      <w:r w:rsidRPr="00D529CE">
        <w:rPr>
          <w:rFonts w:ascii="TimesNewRomanPSMT" w:hAnsi="TimesNewRomanPSMT" w:cs="TimesNewRomanPSMT"/>
          <w:b/>
          <w:color w:val="auto"/>
          <w:sz w:val="32"/>
          <w:szCs w:val="32"/>
          <w:lang w:val="ru-RU" w:bidi="ar-SA"/>
        </w:rPr>
        <w:t xml:space="preserve"> и ведомственных целевых программ Березовского района по итогам 2013 года</w:t>
      </w:r>
      <w:r w:rsidR="00D529CE">
        <w:rPr>
          <w:rFonts w:ascii="TimesNewRomanPSMT" w:hAnsi="TimesNewRomanPSMT" w:cs="TimesNewRomanPSMT"/>
          <w:b/>
          <w:color w:val="auto"/>
          <w:sz w:val="32"/>
          <w:szCs w:val="32"/>
          <w:lang w:val="ru-RU" w:bidi="ar-SA"/>
        </w:rPr>
        <w:t>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proofErr w:type="gramStart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Информация о ходе реализации целевых и ведомственных целевых программ в Березовском районе за 2013 год подготовлена комитетом по экономической политике в соответствии с постановлением администрации Березовского района от 04.03.2014 года №м 247 «О внесении изменений в постановление администрации Березовского района от 09.10.2013 года № 1463 «Об утверждении порядков разработки муниципальных и ведомственных целевых программ Березовского района, порядка проведения и критериев ежегодной</w:t>
      </w:r>
      <w:proofErr w:type="gramEnd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оценки эффективности реализации муниципальной программы Березовского района» на основании сведений координаторов целевых программ и субъектов бюджетного планирования ведомственных целевых программ. </w:t>
      </w:r>
    </w:p>
    <w:p w:rsidR="00EC494D" w:rsidRPr="005615F0" w:rsidRDefault="00EC494D" w:rsidP="00D529CE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proofErr w:type="gramStart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На 01.01.2014 года в соответствии с перечнем программ действовало 27 целевых программ, 21 ведомственных программ, 1 адресная программа, из них 21</w:t>
      </w:r>
      <w:r w:rsidRPr="005615F0">
        <w:rPr>
          <w:rFonts w:ascii="TimesNewRomanPSMT" w:hAnsi="TimesNewRomanPSMT" w:cs="TimesNewRomanPSMT"/>
          <w:color w:val="FF0000"/>
          <w:sz w:val="28"/>
          <w:szCs w:val="28"/>
          <w:lang w:val="ru-RU" w:bidi="ar-SA"/>
        </w:rPr>
        <w:t xml:space="preserve"> </w:t>
      </w:r>
      <w:r w:rsidRPr="005615F0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программ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а</w:t>
      </w:r>
      <w:r w:rsidRPr="005615F0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утверждены к реализации с 2013 года, у 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5</w:t>
      </w:r>
      <w:r w:rsidRPr="005615F0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программ срок окончания реализации приходится на 2013 год.</w:t>
      </w:r>
      <w:proofErr w:type="gramEnd"/>
    </w:p>
    <w:p w:rsidR="00EC494D" w:rsidRDefault="00D529CE" w:rsidP="00D529CE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В финансировании</w:t>
      </w:r>
      <w:r w:rsidR="00EC494D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целевых и ведомственных программ участвуют бюджеты различных уровней и внебюджетные средства. В отчетном году 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доля участия бюджетов в общей сумме финансирования программных мероприятий выглядит следующим образом:</w:t>
      </w:r>
    </w:p>
    <w:p w:rsidR="00EC494D" w:rsidRDefault="00EC494D" w:rsidP="00EC494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 w:rsidRPr="006F6E83">
        <w:rPr>
          <w:rFonts w:ascii="TimesNewRomanPSMT" w:hAnsi="TimesNewRomanPSMT" w:cs="TimesNewRomanPSMT"/>
          <w:noProof/>
          <w:color w:val="auto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029960" cy="5050155"/>
            <wp:effectExtent l="76200" t="76200" r="104140" b="5524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494D" w:rsidRDefault="00EC494D" w:rsidP="00EC494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</w:p>
    <w:p w:rsidR="00EC494D" w:rsidRDefault="00EC494D" w:rsidP="00EC494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 w:rsidRPr="006F6E83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 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В 2013 году сохранилась тенденция низкого участия привлеченных внебюджетных средств в общем объеме финансирования целевых и ведомственных целевых программ.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NewRomanPSMT" w:hAnsi="TimesNewRomanPSMT" w:cs="TimesNewRomanPSMT"/>
          <w:color w:val="FF0000"/>
          <w:sz w:val="28"/>
          <w:szCs w:val="28"/>
          <w:lang w:val="ru-RU" w:bidi="ar-SA"/>
        </w:rPr>
      </w:pPr>
      <w:r w:rsidRPr="00AD7D48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Оценка эффективности 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целевых программ </w:t>
      </w:r>
      <w:r w:rsidRPr="00AD7D48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и результативности 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ведомственных целевых </w:t>
      </w:r>
      <w:r w:rsidRPr="00AD7D48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программ проводится ежегодно, с целью использования результатов оценки  для обеспечения объективных решений по составу программ, предлагаемых к финансированию на очередной финансовый год, и распределения средств по программам с учетом хода их реализации.</w:t>
      </w:r>
      <w:r w:rsidRPr="00AD7D48">
        <w:rPr>
          <w:rFonts w:ascii="TimesNewRomanPSMT" w:hAnsi="TimesNewRomanPSMT" w:cs="TimesNewRomanPSMT"/>
          <w:color w:val="FF0000"/>
          <w:sz w:val="28"/>
          <w:szCs w:val="28"/>
          <w:lang w:val="ru-RU" w:bidi="ar-SA"/>
        </w:rPr>
        <w:t xml:space="preserve">   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Оценка эффективности и результативности целевых программ проведенная по итогам 2013 года,  в связи с введением в действие с 2014 года муниципальных программ и досрочным прекращением всех ранее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действующих, имеет  цель подведения итогов исполнения целевых и ведомственных программ,  без принятия ежегодных решений о дальнейшей реализации оцениваемых программ.</w:t>
      </w:r>
      <w:proofErr w:type="gramEnd"/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Оценка эффективности осуществлялась бальным методом на основе полученных оценок по комплексным критериям с учетом их весовых коэффициентов.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proofErr w:type="gramStart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Коэффициент эффективности реализации целевых программ рассчитан как отношение результативности достижения целевых показателей (индикаторов) целевой программы,  уровня затрат на ее реализацию и степени достижения запланированного результата.</w:t>
      </w:r>
      <w:proofErr w:type="gramEnd"/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Расчет коэффициента эффективности реализации целевых программ проводился для каждого мероприятия (комплекса мероприятий) в отношении которых определен объем финансирования и соответствующий показатель результативности.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По результатам оценки эффективности, реализации </w:t>
      </w:r>
      <w:proofErr w:type="gramStart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целевых</w:t>
      </w:r>
      <w:proofErr w:type="gramEnd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программ программам присвоен рейтинг эффективности. Оценочные таблицы </w:t>
      </w:r>
      <w:proofErr w:type="gramStart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целевых</w:t>
      </w:r>
      <w:proofErr w:type="gramEnd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программ  предоставлены координаторам целевых программ.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Оценку эффективности и результативности получили 38 программ, по итогам  проведенной оценки, эффективными признаны  12 </w:t>
      </w:r>
      <w:proofErr w:type="gramStart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целевых</w:t>
      </w:r>
      <w:proofErr w:type="gramEnd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программ, 7 программ признаны умеренно эффективными, 1 программа отнесена к малоэффективным, 18 ведомственных программ оценены, как результативные.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По 9 программам не проведена оценка эффективности и результативности, так как координаторами программ не были предоставлены годовые отчеты по результатам реализации программ, либо отчеты не соответствовали предъявляемым требованиям.</w:t>
      </w:r>
    </w:p>
    <w:p w:rsidR="00EC494D" w:rsidRDefault="00EC494D" w:rsidP="00EC494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</w:p>
    <w:p w:rsidR="00EC494D" w:rsidRDefault="00EC494D" w:rsidP="00EC494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</w:p>
    <w:p w:rsidR="00EC494D" w:rsidRDefault="00EC494D" w:rsidP="00EC494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noProof/>
          <w:color w:val="auto"/>
          <w:sz w:val="28"/>
          <w:szCs w:val="28"/>
          <w:lang w:val="ru-RU" w:eastAsia="ru-RU" w:bidi="ar-SA"/>
        </w:rPr>
      </w:pPr>
      <w:r>
        <w:rPr>
          <w:rFonts w:ascii="TimesNewRomanPSMT" w:hAnsi="TimesNewRomanPSMT" w:cs="TimesNewRomanPSMT"/>
          <w:noProof/>
          <w:color w:val="auto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089314" cy="2969111"/>
            <wp:effectExtent l="19050" t="0" r="25736" b="2689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494D" w:rsidRDefault="00EC494D" w:rsidP="00EC494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Необходимо отметить, что достижение запланированных значений целевых индикаторов возможно только при 100 % финансировании программных мероприятий.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В связи с этим, в целях повышения эффективности реализации целевых и ведомственных целевых программ, исполнителям всех программ, при отклонении фактических объемов финансирования </w:t>
      </w:r>
      <w:proofErr w:type="gramStart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от</w:t>
      </w:r>
      <w:proofErr w:type="gramEnd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запланированных программой предусмотрено приведение в соответствии программ с решением  о бюджете. Изменения в программы вносятся для увязки  планируемых к реализации мероприятий и объемов фактического финансирования, уточнения  значений целевых индикаторов и показателей, которые могут быть реально достигнуты с учетом фактических объемов финансирования.  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 w:rsidRPr="00397D5C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В 2013 году в   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35</w:t>
      </w:r>
      <w:r w:rsidRPr="00397D5C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программ соответствующие изменения не были внесены. Решение Думы Березовского района  № 414 «О внесении изменений в решение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Думы Березовского района от 21.12.2012 года №257 «О Бюджете Березовского района на 2013 год и плановый период 2014-2015 годы»  вынесено 31.12.2013 года.  С 01.01.2014 года целевые и ведомственные программы утратили свое действие.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 w:rsidRPr="00397D5C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В результате, по причине того, что плановые значения финансирования программ не были приведены в соответствие с бюджетом, при оценке эффективности и результативности программ для сравнительного анализа </w:t>
      </w:r>
      <w:r w:rsidRPr="00397D5C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lastRenderedPageBreak/>
        <w:t>использовались только фактические объемы финансирования и кассовые расходы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,</w:t>
      </w:r>
      <w:r w:rsidRPr="00397D5C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произведенные </w:t>
      </w:r>
      <w:r w:rsidRPr="00397D5C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в рамках 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программных </w:t>
      </w:r>
      <w:r w:rsidRPr="00397D5C"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мероприятий.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Отсутствие  внесения корректировок в плановые значения целевых показателей  программ не позволяет увязать объемы финансирования и результаты реализации программы, представленные в виде показателей программы. 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Все сказанное оказало влияние на вынесение реальной оценки итогов реализации программ.  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В ходе анализа реализации программ оценивалась степень выполнения мероприятий, освоение финансирования и достижение целевых показателей.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Реализация программ Березовского района направлена на удовлетворение потребностей населения в активном и здоровом образе жизни, повышение качества образовательных услуг, обеспечение жильем различных категорий граждан, обеспечение безопасности населения, повышение качества и надежности коммунальных услуг, развитие туризма и малого бизнеса, а также повышение эффективности использования земельных ресурсов.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Все программы Березовского района условно можно отнести к социальным, экономическим и прочим.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К социальным программам отнесены программы, реализуемые в сферах образования,  здравоохранения, культуры, спорта и молодежной политики,  безопасности, социальной политики, жилищные программы.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К экономическим программам отнесены программы ЖКХ,  программы по развитию туризма, развитию агропромышленного комплекса, программы по транспортной доступности, строительства дорог, развитию предпринимательства.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К прочим отнесены программы направленные на создание условия деятельности администрации Березовского района, МКУ «ЕДДС», Управления капитального строительства и ремонта, МАУ «МФЦ», </w:t>
      </w: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lastRenderedPageBreak/>
        <w:t>программы комитета по финансам по повышению качества управления финансами.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Приоритеты финансирования программ в 2013 году по соответствующим направлениям и сферам отражены  в диаграмме. </w:t>
      </w:r>
      <w:proofErr w:type="gramStart"/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>Для наглядности в диаграмме из социальных и экономических программ, программы образования и ЖКХ выделены в самостоятельные направления, как одни из самых затратных.</w:t>
      </w:r>
      <w:proofErr w:type="gramEnd"/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</w:t>
      </w:r>
    </w:p>
    <w:p w:rsidR="00EC494D" w:rsidRPr="00C02969" w:rsidRDefault="00EC494D" w:rsidP="00EC494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 w:rsidRPr="005615F0">
        <w:rPr>
          <w:rFonts w:ascii="TimesNewRomanPSMT" w:hAnsi="TimesNewRomanPSMT" w:cs="TimesNewRomanPSMT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6106833" cy="3089910"/>
            <wp:effectExtent l="57150" t="19050" r="46317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494D" w:rsidRDefault="00EC494D" w:rsidP="00EC494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</w:t>
      </w:r>
    </w:p>
    <w:p w:rsidR="00EC494D" w:rsidRDefault="00EC494D" w:rsidP="00D529C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  <w:t xml:space="preserve"> Необходимо отметить, что в объем средств, на социальную сферу, входят бюджетные ассигнования, направленные на строительство социальных объектов.</w:t>
      </w:r>
    </w:p>
    <w:p w:rsidR="00EC494D" w:rsidRDefault="00E91DF0" w:rsidP="00EC494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91D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Результаты оценки эффективности реализации </w:t>
      </w:r>
      <w:proofErr w:type="gramStart"/>
      <w:r w:rsidRPr="00E91DF0">
        <w:rPr>
          <w:rFonts w:ascii="Times New Roman" w:hAnsi="Times New Roman" w:cs="Times New Roman"/>
          <w:color w:val="auto"/>
          <w:sz w:val="28"/>
          <w:szCs w:val="28"/>
          <w:lang w:val="ru-RU"/>
        </w:rPr>
        <w:t>целевых</w:t>
      </w:r>
      <w:proofErr w:type="gramEnd"/>
      <w:r w:rsidRPr="00E91D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программ представлены в таблице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91DF0" w:rsidRPr="00E91DF0" w:rsidRDefault="00E91DF0" w:rsidP="00EC494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</w:p>
    <w:p w:rsidR="00EC494D" w:rsidRPr="00D529CE" w:rsidRDefault="00EC494D" w:rsidP="00EC494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MT" w:hAnsi="TimesNewRomanPSMT" w:cs="TimesNewRomanPSMT"/>
          <w:b/>
          <w:color w:val="auto"/>
          <w:sz w:val="28"/>
          <w:szCs w:val="28"/>
          <w:lang w:val="ru-RU" w:bidi="ar-SA"/>
        </w:rPr>
      </w:pPr>
      <w:r w:rsidRPr="00D529CE">
        <w:rPr>
          <w:rFonts w:ascii="TimesNewRomanPSMT" w:hAnsi="TimesNewRomanPSMT" w:cs="TimesNewRomanPSMT"/>
          <w:b/>
          <w:color w:val="auto"/>
          <w:sz w:val="28"/>
          <w:szCs w:val="28"/>
          <w:lang w:val="ru-RU" w:bidi="ar-SA"/>
        </w:rPr>
        <w:t>Результаты оценки эффективности.</w:t>
      </w:r>
    </w:p>
    <w:p w:rsidR="00EC494D" w:rsidRDefault="00EC494D" w:rsidP="00EC494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MT" w:hAnsi="TimesNewRomanPSMT" w:cs="TimesNewRomanPSMT"/>
          <w:color w:val="auto"/>
          <w:sz w:val="28"/>
          <w:szCs w:val="28"/>
          <w:lang w:val="ru-RU"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EC494D" w:rsidRPr="00F467E0" w:rsidTr="00D208AE">
        <w:tc>
          <w:tcPr>
            <w:tcW w:w="10031" w:type="dxa"/>
          </w:tcPr>
          <w:p w:rsidR="00EC494D" w:rsidRPr="007D01BC" w:rsidRDefault="00EC494D" w:rsidP="00D208AE">
            <w:pPr>
              <w:ind w:left="-6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7D0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эффективные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Целевая программа Березовского района «Развитие, совершенствование сети автомобильных дорог в Березовском районе» на 2013 - 2016 годы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Целевая программа Березовского района «Развитие туризма на территории Березовского района на 2013 и плановый период 2014-2017 годов»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Целевая программа "Культура Березовского района" на 2011-2015 годы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Целевая программа Березовского района «Обеспечение деятельности общеобразовательных учреждений на территории Березовского района на 2013-2016 годы»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Целевая программа "Формирование беспрепятственного доступа инвалидов и других </w:t>
            </w:r>
            <w:proofErr w:type="spellStart"/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маломобильных</w:t>
            </w:r>
            <w:proofErr w:type="spellEnd"/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 групп населения к объектам социальной инфраструктуры в Березовском районе на 2012-2015 годы"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Целевая программа «Противодействие злоупотреблению наркотиками и их незаконному обороту в Березовском районе на 2013 – 2017 годы»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Целевая программа "</w:t>
            </w: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Профилактика экстремизма, гармонизация межэтнических и межкультурных отношений, укрепление толерантности в Березовском районе на 2012-2015 годы</w:t>
            </w: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"</w:t>
            </w: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Целевая программа «Поддержка социально ориентированных некоммерческих организаций на территории </w:t>
            </w:r>
            <w:proofErr w:type="gramStart"/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образования Березовский район на 2013-2016 годы»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Целевая программа Березовского района «Развитие культурно-исторических традиций в Березовском районе на 2013-2015 годы»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Целевая программа «Развитие системы обращения с отходами производства </w:t>
            </w: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 </w:t>
            </w: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и потребления в Березовском районе на 2012</w:t>
            </w: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-2015 годы"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Целевая программа Березовского района «Укрепление пожарной безопасности на объектах муниципальной собственности Березовского района на 2012-2015 годы»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Целевая программа</w:t>
            </w: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 </w:t>
            </w: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Березовского района "Формирование и содержание муниципального имущества в Березовском </w:t>
            </w: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br/>
              <w:t>районе на 2012-2015 годы"</w:t>
            </w:r>
          </w:p>
        </w:tc>
      </w:tr>
      <w:tr w:rsidR="00EC494D" w:rsidRPr="00F467E0" w:rsidTr="00D208AE">
        <w:tc>
          <w:tcPr>
            <w:tcW w:w="10031" w:type="dxa"/>
          </w:tcPr>
          <w:p w:rsidR="00EC494D" w:rsidRPr="00EC0384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38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умеренно-эффективные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Целевая программа Березовского района "Содействие развитию жилищного строительства на 2011-2013 годы и период до 2015 года"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Целевая Программа "Профилактика правонарушений в Березовском районе на 2011-2015годы"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Целевая программа "Развитие малого и среднего предпринимательства в Березовском районе на 2011- 2013 годы и на период до 2015 года"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Целевая программа Березовского района "Новая школа на 2011-2013 годы и последующие периоды до 2015 года»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Целевая программа по организации отдыха и оздоровления детей, подростков и молодежи Березовского района "Каникулы 2012-2015"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Целевая программа Березовского района "Модернизация и реформирование </w:t>
            </w:r>
            <w:proofErr w:type="spellStart"/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жилищно</w:t>
            </w:r>
            <w:proofErr w:type="spellEnd"/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 - коммунального комплекса Березовского района на 2011-2015 годы"</w:t>
            </w:r>
          </w:p>
        </w:tc>
      </w:tr>
      <w:tr w:rsidR="00EC494D" w:rsidRPr="00E91DF0" w:rsidTr="00D208AE">
        <w:tc>
          <w:tcPr>
            <w:tcW w:w="10031" w:type="dxa"/>
          </w:tcPr>
          <w:p w:rsidR="00EC494D" w:rsidRPr="00F467E0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«Развитие муниципальной службы и резерва управленческих кадров в муниципальном </w:t>
            </w: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образовании Березовский район на 2011-2013 годы»</w:t>
            </w:r>
          </w:p>
        </w:tc>
      </w:tr>
      <w:tr w:rsidR="00EC494D" w:rsidRPr="00F467E0" w:rsidTr="00D208AE">
        <w:tc>
          <w:tcPr>
            <w:tcW w:w="10031" w:type="dxa"/>
          </w:tcPr>
          <w:p w:rsidR="00EC494D" w:rsidRPr="00EC0384" w:rsidRDefault="00EC494D" w:rsidP="00D208AE">
            <w:pPr>
              <w:ind w:left="-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C038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малоэффективные</w:t>
            </w:r>
          </w:p>
        </w:tc>
      </w:tr>
      <w:tr w:rsidR="00EC494D" w:rsidRPr="00E91DF0" w:rsidTr="00D208AE">
        <w:tc>
          <w:tcPr>
            <w:tcW w:w="10031" w:type="dxa"/>
            <w:vAlign w:val="center"/>
          </w:tcPr>
          <w:p w:rsidR="00EC494D" w:rsidRPr="00F467E0" w:rsidRDefault="00EC494D" w:rsidP="00D208AE">
            <w:pPr>
              <w:ind w:left="-108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467E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Целевая программа Березовского района "Обеспечение жильем молодых семей в соответствии с федеральной целевой программой "Жилище" на 2011-2015 годы на территории Березовского района"</w:t>
            </w:r>
          </w:p>
        </w:tc>
      </w:tr>
    </w:tbl>
    <w:p w:rsidR="00EC494D" w:rsidRPr="00F467E0" w:rsidRDefault="00EC494D" w:rsidP="00EC494D">
      <w:p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</w:p>
    <w:p w:rsidR="00EC494D" w:rsidRPr="00EC0384" w:rsidRDefault="00EC494D" w:rsidP="00EC494D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Cs/>
          <w:smallCaps/>
          <w:color w:val="auto"/>
          <w:spacing w:val="20"/>
          <w:sz w:val="28"/>
          <w:szCs w:val="28"/>
          <w:lang w:val="ru-RU"/>
        </w:rPr>
      </w:pPr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По причине не предоставления ежегодного отчета о реализации программ за 2013 год и весь период реализации программы, не проведена оценка эффективности целевой программы «Информационное общество </w:t>
      </w:r>
      <w:proofErr w:type="gramStart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–</w:t>
      </w:r>
      <w:proofErr w:type="spellStart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Ю</w:t>
      </w:r>
      <w:proofErr w:type="gramEnd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гры</w:t>
      </w:r>
      <w:proofErr w:type="spellEnd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на 2012-2015 годы на территории Березовского района». (Координато</w:t>
      </w:r>
      <w:proofErr w:type="gramStart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р-</w:t>
      </w:r>
      <w:proofErr w:type="gramEnd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МКУ «Служба технического обеспечения деятельности органов местного самоуправления»);</w:t>
      </w:r>
    </w:p>
    <w:p w:rsidR="00EC494D" w:rsidRPr="00EC0384" w:rsidRDefault="00EC494D" w:rsidP="00EC494D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C0384">
        <w:rPr>
          <w:rFonts w:ascii="Times New Roman" w:hAnsi="Times New Roman" w:cs="Times New Roman"/>
          <w:color w:val="auto"/>
          <w:sz w:val="28"/>
          <w:szCs w:val="28"/>
          <w:lang w:val="ru-RU"/>
        </w:rPr>
        <w:t>В результате предоставления ежегодных отчетов о реализации программ, не содержащих информации необходимой для проведения оценки эффективности и результативности,  не проведена оценка следующих программам:</w:t>
      </w:r>
    </w:p>
    <w:p w:rsidR="00EC494D" w:rsidRPr="00EC0384" w:rsidRDefault="00EC494D" w:rsidP="00EC494D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C03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целевая программа Развитие физической культуры и спорта в Березовском районе на 2011-2015 годы» (Координатор - </w:t>
      </w:r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</w:t>
      </w:r>
      <w:r w:rsidRPr="00EC0384">
        <w:rPr>
          <w:rFonts w:ascii="Times New Roman" w:hAnsi="Times New Roman" w:cs="Times New Roman"/>
          <w:color w:val="auto"/>
          <w:sz w:val="28"/>
          <w:szCs w:val="28"/>
          <w:lang w:val="ru-RU"/>
        </w:rPr>
        <w:t>омитет спорта и молодежной политики администрации Березовского района);</w:t>
      </w:r>
    </w:p>
    <w:p w:rsidR="00EC494D" w:rsidRPr="00EC0384" w:rsidRDefault="00EC494D" w:rsidP="00EC494D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mallCaps/>
          <w:color w:val="auto"/>
          <w:spacing w:val="20"/>
          <w:sz w:val="28"/>
          <w:szCs w:val="28"/>
          <w:lang w:val="ru-RU"/>
        </w:rPr>
      </w:pPr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целевая программа «Природоохранные мероприятия по Березовскому району в 2013-2017 годах» (Координатор - Комитет по вопросам малочисленных народов Севера, природопользованию, сельскому хозяйству и экологии администрации Березовского района);</w:t>
      </w:r>
    </w:p>
    <w:p w:rsidR="00EC494D" w:rsidRPr="00EC0384" w:rsidRDefault="00EC494D" w:rsidP="00EC494D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mallCaps/>
          <w:color w:val="auto"/>
          <w:spacing w:val="20"/>
          <w:sz w:val="28"/>
          <w:szCs w:val="28"/>
          <w:lang w:val="ru-RU"/>
        </w:rPr>
      </w:pPr>
      <w:r w:rsidRPr="00EC0384">
        <w:rPr>
          <w:rFonts w:ascii="Times New Roman" w:hAnsi="Times New Roman" w:cs="Times New Roman"/>
          <w:color w:val="auto"/>
          <w:sz w:val="28"/>
          <w:szCs w:val="28"/>
          <w:lang w:val="ru-RU"/>
        </w:rPr>
        <w:t>ведомственная целевая программа «Развитие агропромышленного комплекса Березовского района в 2012-2013 годах»  (Субъект бюджетного планирования -</w:t>
      </w:r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Комитет по вопросам малочисленных народов Севера, природопользованию, сельскому хозяйству и экологии администрации Березовского района);</w:t>
      </w:r>
    </w:p>
    <w:p w:rsidR="00EC494D" w:rsidRPr="00EC0384" w:rsidRDefault="00EC494D" w:rsidP="00EC494D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mallCaps/>
          <w:color w:val="auto"/>
          <w:spacing w:val="20"/>
          <w:sz w:val="28"/>
          <w:szCs w:val="28"/>
          <w:lang w:val="ru-RU"/>
        </w:rPr>
      </w:pPr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целевая программа «Обеспечение территории </w:t>
      </w:r>
      <w:proofErr w:type="gramStart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муниципального</w:t>
      </w:r>
      <w:proofErr w:type="gramEnd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образования Березовский район документами </w:t>
      </w:r>
      <w:proofErr w:type="spellStart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градорегулирования</w:t>
      </w:r>
      <w:proofErr w:type="spellEnd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2011-2013 годы и период 2015 годы»  (Координатор – Управление архитектуры и градостроительства администрации Березовского района);</w:t>
      </w:r>
    </w:p>
    <w:p w:rsidR="006D0C55" w:rsidRPr="00E91DF0" w:rsidRDefault="00EC494D" w:rsidP="007D01BC">
      <w:pPr>
        <w:pStyle w:val="ab"/>
        <w:ind w:left="0" w:firstLine="709"/>
        <w:jc w:val="both"/>
        <w:rPr>
          <w:lang w:val="ru-RU"/>
        </w:rPr>
      </w:pPr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 Управлением </w:t>
      </w:r>
      <w:proofErr w:type="spellStart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жилищно</w:t>
      </w:r>
      <w:proofErr w:type="spellEnd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–к</w:t>
      </w:r>
      <w:proofErr w:type="gramEnd"/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оммунального хозяйства не предоставлены отчеты по итогам реализации за 2011 год, в 3 программах при разработке не приведены показатели экономической эффективности разнесенные по годам </w:t>
      </w:r>
      <w:r w:rsidRPr="00EC038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lastRenderedPageBreak/>
        <w:t>реализации, в результате по 4 целевым программам не проведены оценки эффективности.</w:t>
      </w:r>
    </w:p>
    <w:sectPr w:rsidR="006D0C55" w:rsidRPr="00E91DF0" w:rsidSect="006D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7E8"/>
    <w:multiLevelType w:val="hybridMultilevel"/>
    <w:tmpl w:val="BEE62778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78404F"/>
    <w:multiLevelType w:val="hybridMultilevel"/>
    <w:tmpl w:val="5FD012C8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4D"/>
    <w:rsid w:val="003D6F15"/>
    <w:rsid w:val="004551C4"/>
    <w:rsid w:val="006D0C55"/>
    <w:rsid w:val="007D01BC"/>
    <w:rsid w:val="00815E07"/>
    <w:rsid w:val="00D529CE"/>
    <w:rsid w:val="00DE0834"/>
    <w:rsid w:val="00E91DF0"/>
    <w:rsid w:val="00EC494D"/>
    <w:rsid w:val="00F3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D"/>
    <w:pPr>
      <w:spacing w:after="160"/>
      <w:ind w:left="2160"/>
    </w:pPr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15E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E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5E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5E0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815E0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815E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815E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0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5E0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5E0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815E0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815E0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15E0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5E0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15E07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5E07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5E0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5E07"/>
    <w:rPr>
      <w:b/>
      <w:bCs/>
      <w:spacing w:val="0"/>
    </w:rPr>
  </w:style>
  <w:style w:type="character" w:styleId="a9">
    <w:name w:val="Emphasis"/>
    <w:uiPriority w:val="20"/>
    <w:qFormat/>
    <w:rsid w:val="00815E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5E07"/>
    <w:pPr>
      <w:spacing w:line="240" w:lineRule="auto"/>
    </w:pPr>
  </w:style>
  <w:style w:type="paragraph" w:styleId="ab">
    <w:name w:val="List Paragraph"/>
    <w:basedOn w:val="a"/>
    <w:uiPriority w:val="34"/>
    <w:qFormat/>
    <w:rsid w:val="00815E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E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E0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5E0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15E0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15E0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5E0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15E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5E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15E0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5E0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494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30"/>
      <c:hPercent val="110"/>
      <c:rotY val="170"/>
      <c:depthPercent val="260"/>
      <c:perspective val="7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</c:v>
                </c:pt>
              </c:strCache>
            </c:strRef>
          </c:tx>
          <c:spPr>
            <a:ln>
              <a:solidFill>
                <a:srgbClr val="FF66CC"/>
              </a:solidFill>
            </a:ln>
            <a:effectLst>
              <a:outerShdw blurRad="254000" dist="520700" dir="1098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 prstMaterial="plastic">
              <a:bevelT prst="convex"/>
              <a:bevelB prst="convex"/>
              <a:contourClr>
                <a:srgbClr val="000000"/>
              </a:contourClr>
            </a:sp3d>
          </c:spPr>
          <c:dLbls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бюджет Березовского района</c:v>
                </c:pt>
                <c:pt idx="1">
                  <c:v>внебюджетные средства</c:v>
                </c:pt>
                <c:pt idx="2">
                  <c:v>бюджет автономного округа</c:v>
                </c:pt>
                <c:pt idx="3">
                  <c:v>бюджет поселений </c:v>
                </c:pt>
                <c:pt idx="4">
                  <c:v>федеральный бюджет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0.48170000000000002</c:v>
                </c:pt>
                <c:pt idx="1">
                  <c:v>1.5000000000000044E-3</c:v>
                </c:pt>
                <c:pt idx="2">
                  <c:v>0.51060000000000005</c:v>
                </c:pt>
                <c:pt idx="3">
                  <c:v>3.7000000000000119E-3</c:v>
                </c:pt>
                <c:pt idx="4">
                  <c:v>2.5000000000000066E-3</c:v>
                </c:pt>
              </c:numCache>
            </c:numRef>
          </c:val>
        </c:ser>
        <c:dLbls>
          <c:showVal val="1"/>
          <c:showCatName val="1"/>
        </c:dLbls>
      </c:pie3DChart>
      <c:spPr>
        <a:solidFill>
          <a:schemeClr val="accent6">
            <a:lumMod val="40000"/>
            <a:lumOff val="6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  <a:scene3d>
          <a:camera prst="orthographicFront"/>
          <a:lightRig rig="threePt" dir="t"/>
        </a:scene3d>
        <a:sp3d>
          <a:bevelT prst="relaxedInset"/>
        </a:sp3d>
      </c:spPr>
    </c:plotArea>
    <c:plotVisOnly val="1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1400000" scaled="0"/>
      <a:tileRect/>
    </a:gradFill>
    <a:ln>
      <a:solidFill>
        <a:srgbClr val="00B050"/>
      </a:solidFill>
      <a:bevel/>
    </a:ln>
    <a:effectLst>
      <a:glow rad="101600">
        <a:schemeClr val="accent2">
          <a:satMod val="175000"/>
          <a:alpha val="40000"/>
        </a:schemeClr>
      </a:glow>
      <a:outerShdw blurRad="177800" dist="215900" sx="67000" sy="67000" algn="ctr" rotWithShape="0">
        <a:srgbClr val="000000">
          <a:alpha val="26000"/>
        </a:srgbClr>
      </a:outerShdw>
    </a:effectLst>
  </c:spPr>
  <c:txPr>
    <a:bodyPr/>
    <a:lstStyle/>
    <a:p>
      <a:pPr>
        <a:defRPr>
          <a:ln>
            <a:solidFill>
              <a:sysClr val="windowText" lastClr="000000"/>
            </a:solidFill>
          </a:ln>
          <a:solidFill>
            <a:schemeClr val="tx1"/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10"/>
      <c:rotY val="100"/>
      <c:depthPercent val="50"/>
      <c:rAngAx val="1"/>
    </c:view3D>
    <c:floor>
      <c:spPr>
        <a:noFill/>
        <a:ln w="9525">
          <a:noFill/>
        </a:ln>
      </c:spPr>
    </c:floor>
    <c:sideWall>
      <c:spPr>
        <a:gradFill flip="none" rotWithShape="1"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ln w="25400">
          <a:noFill/>
        </a:ln>
        <a:effectLst>
          <a:outerShdw blurRad="50800" dist="965200" dir="13140000" sx="94000" sy="94000" algn="ctr" rotWithShape="0">
            <a:srgbClr val="000000">
              <a:alpha val="43137"/>
            </a:srgbClr>
          </a:outerShdw>
        </a:effectLst>
      </c:spPr>
    </c:sideWall>
    <c:backWall>
      <c:spPr>
        <a:gradFill flip="none" rotWithShape="1"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effectLst>
          <a:outerShdw blurRad="50800" dist="965200" dir="13140000" sx="94000" sy="94000" algn="ctr" rotWithShape="0">
            <a:srgbClr val="000000">
              <a:alpha val="43137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2.2941828915375457E-2"/>
          <c:y val="0.15006276289434822"/>
          <c:w val="0.95411634216924857"/>
          <c:h val="0.732391278062694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результативные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эффективные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умеренно эффективные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малоэффективные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shape val="cone"/>
        <c:axId val="51850240"/>
        <c:axId val="52008448"/>
        <c:axId val="0"/>
      </c:bar3DChart>
      <c:catAx>
        <c:axId val="51850240"/>
        <c:scaling>
          <c:orientation val="minMax"/>
        </c:scaling>
        <c:axPos val="b"/>
        <c:numFmt formatCode="General" sourceLinked="1"/>
        <c:majorTickMark val="none"/>
        <c:tickLblPos val="nextTo"/>
        <c:crossAx val="52008448"/>
        <c:crosses val="autoZero"/>
        <c:auto val="1"/>
        <c:lblAlgn val="ctr"/>
        <c:lblOffset val="100"/>
      </c:catAx>
      <c:valAx>
        <c:axId val="520084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1850240"/>
        <c:crosses val="autoZero"/>
        <c:crossBetween val="between"/>
      </c:valAx>
    </c:plotArea>
    <c:legend>
      <c:legendPos val="t"/>
    </c:legend>
    <c:plotVisOnly val="1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hPercent val="40"/>
      <c:rotY val="20"/>
      <c:depthPercent val="70"/>
      <c:perspective val="0"/>
    </c:view3D>
    <c:plotArea>
      <c:layout>
        <c:manualLayout>
          <c:layoutTarget val="inner"/>
          <c:xMode val="edge"/>
          <c:yMode val="edge"/>
          <c:x val="1.4665703155792862E-2"/>
          <c:y val="1.3592628911521701E-4"/>
          <c:w val="0.98533429684420659"/>
          <c:h val="0.949537365165973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Лист1!$A$2:$A$7</c:f>
              <c:strCache>
                <c:ptCount val="5"/>
                <c:pt idx="0">
                  <c:v>социальные </c:v>
                </c:pt>
                <c:pt idx="1">
                  <c:v>образование</c:v>
                </c:pt>
                <c:pt idx="2">
                  <c:v>экономические </c:v>
                </c:pt>
                <c:pt idx="3">
                  <c:v>сфера  жкх</c:v>
                </c:pt>
                <c:pt idx="4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37</c:v>
                </c:pt>
                <c:pt idx="2">
                  <c:v>9</c:v>
                </c:pt>
                <c:pt idx="3">
                  <c:v>12</c:v>
                </c:pt>
                <c:pt idx="4">
                  <c:v>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bg1">
        <a:lumMod val="85000"/>
      </a:schemeClr>
    </a:solidFill>
    <a:ln w="25400" cap="flat" cmpd="sng" algn="ctr">
      <a:solidFill>
        <a:schemeClr val="dk1"/>
      </a:solidFill>
      <a:prstDash val="solid"/>
    </a:ln>
    <a:effectLst/>
    <a:scene3d>
      <a:camera prst="orthographicFront"/>
      <a:lightRig rig="threePt" dir="t"/>
    </a:scene3d>
    <a:sp3d>
      <a:bevelT prst="convex"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Нечаева</cp:lastModifiedBy>
  <cp:revision>3</cp:revision>
  <cp:lastPrinted>2014-04-30T09:53:00Z</cp:lastPrinted>
  <dcterms:created xsi:type="dcterms:W3CDTF">2014-04-30T09:28:00Z</dcterms:created>
  <dcterms:modified xsi:type="dcterms:W3CDTF">2014-05-05T04:42:00Z</dcterms:modified>
</cp:coreProperties>
</file>