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291380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E907A9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</w:t>
      </w:r>
      <w:r w:rsidR="004066C2">
        <w:rPr>
          <w:rFonts w:ascii="Times New Roman" w:hAnsi="Times New Roman" w:cs="Times New Roman"/>
          <w:sz w:val="28"/>
          <w:szCs w:val="28"/>
        </w:rPr>
        <w:t>.2021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 </w:t>
      </w:r>
      <w:r w:rsidR="00291380">
        <w:rPr>
          <w:rFonts w:ascii="Times New Roman" w:hAnsi="Times New Roman" w:cs="Times New Roman"/>
          <w:sz w:val="28"/>
          <w:szCs w:val="28"/>
        </w:rPr>
        <w:t xml:space="preserve">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291380">
        <w:rPr>
          <w:rFonts w:ascii="Times New Roman" w:hAnsi="Times New Roman" w:cs="Times New Roman"/>
          <w:sz w:val="28"/>
          <w:szCs w:val="28"/>
        </w:rPr>
        <w:t>27</w:t>
      </w:r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E907A9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E92E54">
        <w:rPr>
          <w:rFonts w:ascii="Times New Roman" w:hAnsi="Times New Roman" w:cs="Times New Roman"/>
          <w:sz w:val="28"/>
          <w:szCs w:val="28"/>
        </w:rPr>
        <w:t xml:space="preserve">с </w:t>
      </w:r>
      <w:r w:rsidR="00E907A9">
        <w:rPr>
          <w:rFonts w:ascii="Times New Roman" w:hAnsi="Times New Roman" w:cs="Times New Roman"/>
          <w:sz w:val="28"/>
          <w:szCs w:val="28"/>
        </w:rPr>
        <w:t>01.04</w:t>
      </w:r>
      <w:r w:rsidR="004066C2">
        <w:rPr>
          <w:rFonts w:ascii="Times New Roman" w:hAnsi="Times New Roman" w:cs="Times New Roman"/>
          <w:sz w:val="28"/>
          <w:szCs w:val="28"/>
        </w:rPr>
        <w:t>.2021</w:t>
      </w:r>
      <w:r w:rsidR="009D1A97"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907A9">
        <w:rPr>
          <w:rFonts w:ascii="Times New Roman" w:hAnsi="Times New Roman" w:cs="Times New Roman"/>
          <w:sz w:val="28"/>
          <w:szCs w:val="28"/>
        </w:rPr>
        <w:t>30.04</w:t>
      </w:r>
      <w:r w:rsidR="004066C2">
        <w:rPr>
          <w:rFonts w:ascii="Times New Roman" w:hAnsi="Times New Roman" w:cs="Times New Roman"/>
          <w:sz w:val="28"/>
          <w:szCs w:val="28"/>
        </w:rPr>
        <w:t>.2021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</w:t>
      </w:r>
      <w:r w:rsidR="00291380">
        <w:rPr>
          <w:rFonts w:ascii="Times New Roman" w:hAnsi="Times New Roman" w:cs="Times New Roman"/>
          <w:sz w:val="28"/>
          <w:szCs w:val="28"/>
        </w:rPr>
        <w:t>проектов на</w:t>
      </w:r>
      <w:r w:rsidR="009A51E1">
        <w:rPr>
          <w:rFonts w:ascii="Times New Roman" w:hAnsi="Times New Roman" w:cs="Times New Roman"/>
          <w:sz w:val="28"/>
          <w:szCs w:val="28"/>
        </w:rPr>
        <w:t xml:space="preserve"> 2021 год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стандартом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351620" w:rsidRPr="004066C2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FBB" w:rsidRPr="004066C2"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4066C2">
        <w:rPr>
          <w:rFonts w:ascii="Times New Roman" w:hAnsi="Times New Roman" w:cs="Times New Roman"/>
          <w:sz w:val="28"/>
          <w:szCs w:val="28"/>
        </w:rPr>
        <w:t xml:space="preserve"> </w:t>
      </w:r>
      <w:r w:rsidR="00E34969" w:rsidRPr="004066C2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4066C2">
        <w:rPr>
          <w:rFonts w:ascii="Times New Roman" w:hAnsi="Times New Roman" w:cs="Times New Roman"/>
          <w:sz w:val="28"/>
          <w:szCs w:val="28"/>
        </w:rPr>
        <w:t>(</w:t>
      </w:r>
      <w:r w:rsidR="006D0DCA" w:rsidRPr="004066C2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) обеспечить размещение объявления о проведении конкурсного отбора на официальном сайте администрации Березовского района в срок до </w:t>
      </w:r>
      <w:r w:rsidR="00E907A9">
        <w:rPr>
          <w:rFonts w:ascii="Times New Roman" w:hAnsi="Times New Roman" w:cs="Times New Roman"/>
          <w:sz w:val="28"/>
          <w:szCs w:val="28"/>
        </w:rPr>
        <w:t>31.03</w:t>
      </w:r>
      <w:r w:rsidRPr="004066C2">
        <w:rPr>
          <w:rFonts w:ascii="Times New Roman" w:hAnsi="Times New Roman" w:cs="Times New Roman"/>
          <w:sz w:val="28"/>
          <w:szCs w:val="28"/>
        </w:rPr>
        <w:t>.2021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01ED"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>редседатель</w:t>
      </w:r>
      <w:r w:rsidR="002913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865A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   И.В. Губкин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_) </w:t>
      </w:r>
      <w:r w:rsidR="004066C2">
        <w:rPr>
          <w:rFonts w:ascii="Times New Roman" w:eastAsia="Calibri" w:hAnsi="Times New Roman" w:cs="Times New Roman"/>
          <w:sz w:val="28"/>
          <w:szCs w:val="28"/>
        </w:rPr>
        <w:t xml:space="preserve">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380" w:rsidRPr="00C10AAB" w:rsidRDefault="00291380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380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2021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291380">
        <w:rPr>
          <w:rFonts w:ascii="Times New Roman" w:hAnsi="Times New Roman" w:cs="Times New Roman"/>
          <w:sz w:val="24"/>
          <w:szCs w:val="24"/>
        </w:rPr>
        <w:t>30.03.2021 г. №27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 Игорь Васильевич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6C2" w:rsidTr="00FA387B">
        <w:tc>
          <w:tcPr>
            <w:tcW w:w="4644" w:type="dxa"/>
          </w:tcPr>
          <w:p w:rsidR="004066C2" w:rsidRPr="004066C2" w:rsidRDefault="004066C2" w:rsidP="0029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851" w:type="dxa"/>
          </w:tcPr>
          <w:p w:rsidR="004066C2" w:rsidRPr="004066C2" w:rsidRDefault="004066C2" w:rsidP="0029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4066C2" w:rsidRPr="004066C2" w:rsidRDefault="004066C2" w:rsidP="00406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заведующий отделом по вопросам культурной политики комитета культуры администрации Березовского района, заместитель председателя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t xml:space="preserve">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Pr="004A185A" w:rsidRDefault="00291380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1380">
        <w:rPr>
          <w:rFonts w:ascii="Times New Roman" w:hAnsi="Times New Roman" w:cs="Times New Roman"/>
          <w:sz w:val="24"/>
          <w:szCs w:val="24"/>
        </w:rPr>
        <w:t>от 30.03.2021 г. №27-од</w:t>
      </w: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8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(наименование должности              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>подпись)              (фамилия, инициалы)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Pr="009B7502" w:rsidRDefault="0029138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80">
        <w:rPr>
          <w:rFonts w:ascii="Times New Roman" w:hAnsi="Times New Roman" w:cs="Times New Roman"/>
          <w:sz w:val="24"/>
          <w:szCs w:val="24"/>
        </w:rPr>
        <w:t>от 30.03.2021 г. №27-од</w:t>
      </w: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29138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80">
        <w:rPr>
          <w:rFonts w:ascii="Times New Roman" w:hAnsi="Times New Roman" w:cs="Times New Roman"/>
          <w:sz w:val="24"/>
          <w:szCs w:val="24"/>
        </w:rPr>
        <w:t>от 30.03.2021 г. №27-од</w:t>
      </w:r>
    </w:p>
    <w:p w:rsidR="001B5F8A" w:rsidRDefault="001B5F8A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29138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80">
        <w:rPr>
          <w:rFonts w:ascii="Times New Roman" w:hAnsi="Times New Roman" w:cs="Times New Roman"/>
          <w:sz w:val="24"/>
          <w:szCs w:val="24"/>
        </w:rPr>
        <w:t>от 30.03.2021 г. №27-од</w:t>
      </w:r>
    </w:p>
    <w:p w:rsidR="00291380" w:rsidRDefault="0029138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29138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380">
        <w:rPr>
          <w:rFonts w:ascii="Times New Roman" w:hAnsi="Times New Roman" w:cs="Times New Roman"/>
          <w:sz w:val="24"/>
          <w:szCs w:val="24"/>
        </w:rPr>
        <w:t>от 30.03.2021 г. №27-од</w:t>
      </w:r>
    </w:p>
    <w:p w:rsidR="00291380" w:rsidRDefault="0029138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29138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380">
        <w:rPr>
          <w:rFonts w:ascii="Times New Roman" w:hAnsi="Times New Roman" w:cs="Times New Roman"/>
          <w:sz w:val="24"/>
          <w:szCs w:val="24"/>
        </w:rPr>
        <w:t>от 30.03.2021 г. №27-од</w:t>
      </w:r>
    </w:p>
    <w:p w:rsidR="00291380" w:rsidRDefault="0029138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29138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380">
        <w:rPr>
          <w:rFonts w:ascii="Times New Roman" w:hAnsi="Times New Roman" w:cs="Times New Roman"/>
          <w:sz w:val="24"/>
          <w:szCs w:val="24"/>
        </w:rPr>
        <w:t>от 30.03.2021 г. №27-од</w:t>
      </w:r>
    </w:p>
    <w:p w:rsidR="00291380" w:rsidRDefault="0029138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 w15:restartNumberingAfterBreak="0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380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907A9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F6DE0-07A1-40C1-8E88-150C87F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546B8D29E3A703BDD1EC11F797EA6A14C1D6A95FA75B97FBCF414911E05FH5l4F" TargetMode="Externa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E9EF-2875-4D35-B05A-93AD4B4E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15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85</cp:revision>
  <cp:lastPrinted>2021-02-08T04:33:00Z</cp:lastPrinted>
  <dcterms:created xsi:type="dcterms:W3CDTF">2015-05-14T13:03:00Z</dcterms:created>
  <dcterms:modified xsi:type="dcterms:W3CDTF">2021-03-30T09:49:00Z</dcterms:modified>
</cp:coreProperties>
</file>