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D0" w:rsidRPr="00B64F2D" w:rsidRDefault="001D78D0" w:rsidP="001D78D0">
      <w:pPr>
        <w:spacing w:after="300" w:line="450" w:lineRule="atLeast"/>
        <w:jc w:val="center"/>
        <w:textAlignment w:val="baseline"/>
        <w:outlineLvl w:val="0"/>
        <w:rPr>
          <w:rFonts w:ascii="&amp;quot" w:eastAsia="Times New Roman" w:hAnsi="&amp;quot" w:cs="Times New Roman"/>
          <w:caps/>
          <w:color w:val="311D4D"/>
          <w:spacing w:val="15"/>
          <w:kern w:val="36"/>
          <w:sz w:val="36"/>
          <w:szCs w:val="36"/>
          <w:lang w:eastAsia="ru-RU"/>
        </w:rPr>
      </w:pPr>
      <w:bookmarkStart w:id="0" w:name="_GoBack"/>
      <w:bookmarkEnd w:id="0"/>
      <w:r w:rsidRPr="00B64F2D">
        <w:rPr>
          <w:rFonts w:ascii="&amp;quot" w:eastAsia="Times New Roman" w:hAnsi="&amp;quot" w:cs="Times New Roman"/>
          <w:caps/>
          <w:color w:val="311D4D"/>
          <w:spacing w:val="15"/>
          <w:kern w:val="36"/>
          <w:sz w:val="36"/>
          <w:szCs w:val="36"/>
          <w:lang w:eastAsia="ru-RU"/>
        </w:rPr>
        <w:t>Почему подростки вступают в субкультуры</w:t>
      </w:r>
    </w:p>
    <w:p w:rsidR="001D78D0" w:rsidRPr="00B64F2D" w:rsidRDefault="001D78D0" w:rsidP="001D78D0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D3D3D3"/>
          <w:sz w:val="21"/>
          <w:szCs w:val="21"/>
          <w:bdr w:val="none" w:sz="0" w:space="0" w:color="auto" w:frame="1"/>
          <w:lang w:eastAsia="ru-RU"/>
        </w:rPr>
        <w:t>03.07.2020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1D78D0" w:rsidRPr="00B64F2D" w:rsidRDefault="001D78D0" w:rsidP="001D78D0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896DF7" wp14:editId="354C8748">
            <wp:extent cx="4345582" cy="2581275"/>
            <wp:effectExtent l="0" t="0" r="0" b="0"/>
            <wp:docPr id="1" name="Рисунок 1" descr="Почему подростки вступают в суб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подростки вступают в субкульту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44" cy="258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0" w:rsidRDefault="001D78D0" w:rsidP="001D78D0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Специалисты Центра изучения и сетевого мониторинга молодёжной среды определили около 30 субкультур, которые представляют потенциальную угрозу для подростков. К ним относятся «суицидальные группы», сообщества, распространяющие идеи насилия и криминального образа жизни. Часто в такие группы вовлекаются дети с проблемами самооценки или ребята из неблагополучных семей, но вступают в них и обычные подростки, у которых нет явных сложностей в общении с родителями или сверстниками. Почему деструктивные сообщества вызывают интерес у молодых людей – сотрудникам 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АНО «ЦИСМ»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рассказал эксперт Уральской ассоциации «Центр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этноконфессиональных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исследований, профилактики экстремизма и противодействия идеологии терроризма» 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Валерий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Горшунов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– Что такое субкультура с научной точки зрения?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– Единого определения сегодня не существует. В моём понимании, субкультура – это вид социальной системы, которая пришла к нам в условиях урбанизации и глобализации из-за потери традиционных видов идентичности у человека. Субкультура подразумевает единство целей и проявление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созависимости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среди её участников.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Если говорить о деструкции, то под ней мы обычно понимаем нанесение вреда либо имуществу, либо группе людей, либо самому себе. То есть всё, что связано с антисоциальным поведением человека. Сегодня, например, мы можем назвать субкультуру «хиппи» деструктивной только в случае пропаганды запрещённых веществ, в остальном же эта субкультура не приносит зла окружающим. Получается, что деструктивные субкультуры – это социотехнические системы, которые несут угрозу общественному и государственному институту, а также индивидууму.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– Что вы думаете о феномене деструктивных субкультур в социальных сетях?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– Социальные сети не являются базисом для деструктивных субкультур, скорее это катализатор для их распространения в обществе. Так, для движения «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скулшутеров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» социальные сети являются механизмом продвижения, чего нельзя сказать о криминальной субкультуре, продвижение которой происходит в основном в офлайн-среде.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Из тысячи человек всегда найдётся один, который станет субъектом для продвижения деструктивных субкультур. Социальные сети в этом случае – инструмент для моментального распространения деструктивных идей. Для привлечения новых участников любая субкультура использует психологический механизм «адреналиновой зависимости». Это состояние, при котором опасная ситуация позволяет человеку почувствовать эйфорию.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– Какие подростки попадают в деструктивные сообщества?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 60% молодёжи в 14-15 лет возникает потребность поиска «племенной идентичности». Идентичность – это устойчивое ощущение тождественности своему реальному жизненному пути и своему месту в обществе. Формирование тождественности происходит в процессе выбора профессии, становления моральных и политических ценностей.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Выдел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яют три уровня идентичности.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·        </w:t>
      </w:r>
      <w:r w:rsidRPr="00B64F2D">
        <w:rPr>
          <w:rFonts w:ascii="&amp;quot" w:eastAsia="Times New Roman" w:hAnsi="&amp;quo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Первый уровень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: человек осознаёт, кто он и его окружение; гендерная идентичность.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·        </w:t>
      </w:r>
      <w:r w:rsidRPr="00B64F2D">
        <w:rPr>
          <w:rFonts w:ascii="&amp;quot" w:eastAsia="Times New Roman" w:hAnsi="&amp;quo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Второй уровень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: семейная или родовая идентичность.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·       </w:t>
      </w:r>
      <w:r w:rsidRPr="00B64F2D">
        <w:rPr>
          <w:rFonts w:ascii="&amp;quot" w:eastAsia="Times New Roman" w:hAnsi="&amp;quo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Третий уровень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: «племенная идентичность» (когда круг связей перестаёт ограничиваться членами семьи и появляется необходимость в социальных связях с обществом).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– В какой момент ребёнок выбирает деструктивную субкультуру?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– Люди в больших городах живут в состоянии стабильного психологического дискомфорта, особенно это касается подростков. В мегаполисах наша физическая активность значительно снизилась. В современном городе мы получаем офисный образ жизни, из-за этого психологическая и физиологическая канализация (необходимость в выбросе положительной и отрицательной энергии) сводится к минимуму. Подростки пытаются получить такую разрядку с помощью деструктивных субкультур.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Молодые люди в возрасте 14-25 лет испытывают хронический социальный дискомфорт. Это связано с физиологическим формированием организма, а также с внешними факторами, влияющими на их жизнь: семья, школа, окружение. В этот период у подростков начинают появляться негативные мысли, тогда они могут вступить в субкультуру. В таком возрасте семья должна стать помощником подростку в борьбе с деструктивными проявлениями.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– Как помочь ребёнку, который уже попал под влияние деструктивной субкультуры?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– Потребуется большое количество времени, ребёнок может проявлять закрытость, агрессию и нежелание контактировать с кем-либо. Тяжело 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вытащить человека из субкультуры, пока он «не перегорит» или не разочаруется в ней. Профилактика обычно начинается в промежуточной стадии, когда с ребёнком уже работают социальные службы. Однако она может быть эффективной только тогда, когда мы успеваем вовлечь ребёнка в позитивную повестку или субкультуру.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– Какой должна быть альтернативная субкультура, чтобы заместить интерес к негативу?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1D78D0" w:rsidRPr="00B64F2D" w:rsidRDefault="001D78D0" w:rsidP="001D78D0">
      <w:pPr>
        <w:shd w:val="clear" w:color="auto" w:fill="FFFFFF"/>
        <w:spacing w:after="0" w:line="240" w:lineRule="auto"/>
        <w:ind w:right="-284" w:firstLine="993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– Она должна иметь логичный символ, который можно будет легко понять. Яркий пример: «красная звезда» – символ военной субкультуры. Кроме того, эта субкультура должна включать в себя элементы физической разгрузки и психологической сублимации, иметь рациональные основания, а также быть широко освещённой в социальных сетях.</w:t>
      </w:r>
    </w:p>
    <w:p w:rsidR="001D78D0" w:rsidRDefault="001D78D0" w:rsidP="001D78D0"/>
    <w:p w:rsidR="001D78D0" w:rsidRDefault="001D78D0" w:rsidP="001D78D0"/>
    <w:p w:rsidR="00842A15" w:rsidRDefault="00842A15"/>
    <w:sectPr w:rsidR="008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B"/>
    <w:rsid w:val="001D78D0"/>
    <w:rsid w:val="00842A15"/>
    <w:rsid w:val="00C445E6"/>
    <w:rsid w:val="00E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Opeka</cp:lastModifiedBy>
  <cp:revision>2</cp:revision>
  <dcterms:created xsi:type="dcterms:W3CDTF">2021-03-17T11:50:00Z</dcterms:created>
  <dcterms:modified xsi:type="dcterms:W3CDTF">2021-03-17T11:50:00Z</dcterms:modified>
</cp:coreProperties>
</file>