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D2" w:rsidRPr="009D75D2" w:rsidRDefault="009D75D2" w:rsidP="009D7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5D2" w:rsidRPr="009D75D2" w:rsidRDefault="009D75D2" w:rsidP="009D75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62"/>
      <w:bookmarkEnd w:id="0"/>
      <w:r w:rsidRPr="009D75D2">
        <w:rPr>
          <w:rFonts w:ascii="Times New Roman" w:hAnsi="Times New Roman" w:cs="Times New Roman"/>
          <w:b/>
          <w:sz w:val="24"/>
          <w:szCs w:val="24"/>
        </w:rPr>
        <w:t>Перечень услуг, предоставляемых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</w:t>
      </w:r>
      <w:bookmarkStart w:id="1" w:name="_GoBack"/>
      <w:bookmarkEnd w:id="1"/>
    </w:p>
    <w:tbl>
      <w:tblPr>
        <w:tblW w:w="10350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9358"/>
      </w:tblGrid>
      <w:tr w:rsidR="009D75D2" w:rsidTr="009D75D2">
        <w:trPr>
          <w:trHeight w:val="506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 xml:space="preserve">№ </w:t>
            </w: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услуги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Наименование услуги</w:t>
            </w:r>
          </w:p>
        </w:tc>
      </w:tr>
      <w:tr w:rsidR="009D75D2" w:rsidTr="009D75D2">
        <w:trPr>
          <w:trHeight w:val="87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 w:rsidP="000A003D">
            <w:pPr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/>
              <w:autoSpaceDE w:val="0"/>
              <w:spacing w:after="0" w:line="240" w:lineRule="auto"/>
              <w:ind w:left="0" w:firstLine="22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Andale Sans UI" w:hAnsi="Times New Roman"/>
                <w:bCs/>
                <w:kern w:val="3"/>
                <w:lang w:eastAsia="ja-JP" w:bidi="fa-IR"/>
              </w:rPr>
              <w:t xml:space="preserve">         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2.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             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3.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          Организация отдыха детей в каникулярное время в части предоставления детям, имеющим место жительства в Березовском районе, путевок в организации отдыха детей и их оздоровления</w:t>
            </w:r>
          </w:p>
        </w:tc>
      </w:tr>
      <w:tr w:rsidR="009D75D2" w:rsidTr="009D75D2">
        <w:trPr>
          <w:trHeight w:val="52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highlight w:val="cyan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Предоставление архивных справок, архивных выписок, копий архивных документов</w:t>
            </w:r>
          </w:p>
        </w:tc>
      </w:tr>
      <w:tr w:rsidR="009D75D2" w:rsidTr="009D75D2">
        <w:trPr>
          <w:trHeight w:val="525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5.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          Выдача разрешений на установку и эксплуатацию рекламных конструкций, аннулирование таких разрешений</w:t>
            </w:r>
          </w:p>
        </w:tc>
      </w:tr>
      <w:tr w:rsidR="009D75D2" w:rsidTr="009D75D2">
        <w:trPr>
          <w:trHeight w:val="38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6.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ar-SA"/>
              </w:rPr>
              <w:t xml:space="preserve">            Предоставление сведений, содержащихся в информационной системе обеспечения градостроительной деятельности</w:t>
            </w:r>
          </w:p>
        </w:tc>
      </w:tr>
      <w:tr w:rsidR="009D75D2" w:rsidTr="009D75D2">
        <w:trPr>
          <w:trHeight w:val="38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7.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autoSpaceDE w:val="0"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ar-SA"/>
              </w:rPr>
              <w:t xml:space="preserve">         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D75D2" w:rsidTr="009D75D2">
        <w:trPr>
          <w:trHeight w:val="38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8.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           Выдача градостроительного плана земельного участка</w:t>
            </w:r>
          </w:p>
        </w:tc>
      </w:tr>
      <w:tr w:rsidR="009D75D2" w:rsidTr="009D75D2">
        <w:trPr>
          <w:trHeight w:val="38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          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9D75D2" w:rsidTr="009D75D2">
        <w:trPr>
          <w:trHeight w:val="38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10.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          Присвоение объекту адресации адреса, аннулирование его адреса</w:t>
            </w:r>
          </w:p>
        </w:tc>
      </w:tr>
      <w:tr w:rsidR="009D75D2" w:rsidTr="009D75D2">
        <w:trPr>
          <w:trHeight w:val="38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11.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Предоставление разрешения на отклонение 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D75D2" w:rsidTr="009D75D2">
        <w:trPr>
          <w:trHeight w:val="38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12.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</w:tr>
      <w:tr w:rsidR="009D75D2" w:rsidTr="009D75D2">
        <w:trPr>
          <w:trHeight w:val="38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13.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9D75D2" w:rsidTr="009D75D2">
        <w:trPr>
          <w:trHeight w:val="38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14.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Направление уведомления о соответствии (несоответствии)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построенных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highlight w:val="cyan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15.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highlight w:val="cyan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lastRenderedPageBreak/>
              <w:t>16.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autoSpaceDE w:val="0"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       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17.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18.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autoSpaceDE w:val="0"/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          Предварительное согласование предоставления земельного участка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19.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autoSpaceDE w:val="0"/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         Выдача копии архивных документов, подтверждающих право на владение землей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20.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tabs>
                <w:tab w:val="left" w:pos="900"/>
              </w:tabs>
              <w:suppressAutoHyphens/>
              <w:autoSpaceDE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          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21.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tabs>
                <w:tab w:val="left" w:pos="900"/>
              </w:tabs>
              <w:suppressAutoHyphens/>
              <w:autoSpaceDE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           </w:t>
            </w:r>
            <w:r>
              <w:rPr>
                <w:rFonts w:ascii="Times New Roman" w:eastAsia="Times New Roman" w:hAnsi="Times New Roman"/>
                <w:lang w:eastAsia="ar-SA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</w:tr>
      <w:tr w:rsidR="009D75D2" w:rsidTr="009D75D2">
        <w:trPr>
          <w:trHeight w:val="22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22.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tabs>
                <w:tab w:val="left" w:pos="900"/>
              </w:tabs>
              <w:suppressAutoHyphens/>
              <w:autoSpaceDE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       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D75D2" w:rsidTr="009D75D2">
        <w:trPr>
          <w:trHeight w:val="60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23.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tabs>
                <w:tab w:val="left" w:pos="900"/>
              </w:tabs>
              <w:suppressAutoHyphens/>
              <w:autoSpaceDE w:val="0"/>
              <w:spacing w:after="0" w:line="240" w:lineRule="auto"/>
              <w:ind w:firstLine="228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   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9D75D2" w:rsidTr="009D75D2">
        <w:trPr>
          <w:trHeight w:val="85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24.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tabs>
                <w:tab w:val="left" w:pos="9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        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9D75D2" w:rsidTr="009D75D2">
        <w:trPr>
          <w:trHeight w:val="656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25.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9D75D2" w:rsidTr="009D75D2">
        <w:trPr>
          <w:trHeight w:val="45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26.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Предоставление сведений из реестра муниципального имущества</w:t>
            </w:r>
          </w:p>
        </w:tc>
      </w:tr>
      <w:tr w:rsidR="009D75D2" w:rsidTr="009D75D2">
        <w:trPr>
          <w:trHeight w:val="74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27.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D75D2" w:rsidTr="009D75D2">
        <w:trPr>
          <w:trHeight w:val="66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28.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Бесплатная передача в собственность граждан Российской Федерации занимаемых ими жилых помещений в  муниципальном жилищном фонде (приватизация жилых помещений)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29.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tabs>
                <w:tab w:val="left" w:pos="900"/>
              </w:tabs>
              <w:suppressAutoHyphens/>
              <w:autoSpaceDE w:val="0"/>
              <w:spacing w:after="0" w:line="240" w:lineRule="auto"/>
              <w:ind w:firstLine="228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      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30.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tabs>
                <w:tab w:val="left" w:pos="900"/>
              </w:tabs>
              <w:suppressAutoHyphens/>
              <w:autoSpaceDE w:val="0"/>
              <w:spacing w:after="0" w:line="240" w:lineRule="auto"/>
              <w:ind w:firstLine="228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31.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tabs>
                <w:tab w:val="left" w:pos="900"/>
              </w:tabs>
              <w:suppressAutoHyphens/>
              <w:autoSpaceDE w:val="0"/>
              <w:spacing w:after="0" w:line="240" w:lineRule="auto"/>
              <w:ind w:firstLine="228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D75D2" w:rsidTr="009D75D2">
        <w:trPr>
          <w:trHeight w:val="74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32.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tabs>
                <w:tab w:val="left" w:pos="900"/>
              </w:tabs>
              <w:suppressAutoHyphens/>
              <w:autoSpaceDE w:val="0"/>
              <w:spacing w:after="0" w:line="240" w:lineRule="auto"/>
              <w:ind w:firstLine="228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33.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</w:tr>
      <w:tr w:rsidR="009D75D2" w:rsidTr="009D75D2">
        <w:trPr>
          <w:trHeight w:val="58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34.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Предоставление информации о порядке предоставления жилищно-коммунальных услуг населению 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35.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Принятие документов, а также выдача  решений о переводе или об отказе в переводе жилого помещения в нежилое или нежилого помещения в жилое помещение </w:t>
            </w:r>
          </w:p>
        </w:tc>
      </w:tr>
      <w:tr w:rsidR="009D75D2" w:rsidTr="009D75D2">
        <w:trPr>
          <w:trHeight w:val="65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lastRenderedPageBreak/>
              <w:t>36.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9D75D2" w:rsidTr="009D75D2">
        <w:trPr>
          <w:trHeight w:val="325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37.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tabs>
                <w:tab w:val="left" w:pos="900"/>
              </w:tabs>
              <w:suppressAutoHyphens/>
              <w:autoSpaceDE w:val="0"/>
              <w:spacing w:after="0" w:line="240" w:lineRule="auto"/>
              <w:ind w:firstLine="512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Выдача разрешения на вступление в брак несовершеннолетним лицам</w:t>
            </w:r>
          </w:p>
        </w:tc>
      </w:tr>
      <w:tr w:rsidR="009D75D2" w:rsidTr="009D75D2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38.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tabs>
                <w:tab w:val="left" w:pos="900"/>
              </w:tabs>
              <w:suppressAutoHyphens/>
              <w:autoSpaceDE w:val="0"/>
              <w:spacing w:after="0" w:line="240" w:lineRule="auto"/>
              <w:ind w:firstLine="512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Предоставление  информации  пользователям  автомобильных дорог общего пользования местного значения 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39.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tabs>
                <w:tab w:val="left" w:pos="900"/>
              </w:tabs>
              <w:suppressAutoHyphens/>
              <w:autoSpaceDE w:val="0"/>
              <w:spacing w:after="0" w:line="240" w:lineRule="auto"/>
              <w:ind w:firstLine="512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Дача письменных разъяснений налогоплательщикам и налоговым агентам по вопросу применения нормативных правовых актов о местных налогах и сборах, установленных на межселенной территории Березовского района и территории городского поселения Березово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75D2" w:rsidRDefault="009D75D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регистрация актов гражданского состояния («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подуслуга</w:t>
            </w:r>
            <w:proofErr w:type="spellEnd"/>
            <w:r>
              <w:rPr>
                <w:rFonts w:ascii="Times New Roman" w:hAnsi="Times New Roman"/>
                <w:color w:val="000000"/>
              </w:rPr>
              <w:t>» «Подача письменного запроса о выдаче документов, подтверждающих государственную регистрацию актов гражданского состояния и выдача документов»)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41.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регистрация актов гражданского состояния</w:t>
            </w:r>
          </w:p>
          <w:p w:rsidR="009D75D2" w:rsidRDefault="009D75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(«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подуслуга</w:t>
            </w:r>
            <w:proofErr w:type="spellEnd"/>
            <w:r>
              <w:rPr>
                <w:rFonts w:ascii="Times New Roman" w:hAnsi="Times New Roman"/>
                <w:color w:val="000000"/>
              </w:rPr>
              <w:t>» «Подача совместного заявления о заключении брака»)</w:t>
            </w:r>
          </w:p>
        </w:tc>
      </w:tr>
      <w:tr w:rsidR="009D75D2" w:rsidTr="009D75D2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42.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75D2" w:rsidRDefault="009D75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регистрация актов гражданского состояния</w:t>
            </w:r>
          </w:p>
          <w:p w:rsidR="009D75D2" w:rsidRDefault="009D75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(«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подуслуга</w:t>
            </w:r>
            <w:proofErr w:type="spellEnd"/>
            <w:r>
              <w:rPr>
                <w:rFonts w:ascii="Times New Roman" w:hAnsi="Times New Roman"/>
                <w:color w:val="000000"/>
              </w:rPr>
              <w:t>» «Подача совместного заявления о расторжении брака супругов, не имеющих общих несовершеннолетних детей»)</w:t>
            </w:r>
          </w:p>
        </w:tc>
      </w:tr>
    </w:tbl>
    <w:p w:rsidR="009D75D2" w:rsidRDefault="009D75D2" w:rsidP="009D7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D2" w:rsidRDefault="009D75D2" w:rsidP="009D7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65" w:rsidRDefault="00253365"/>
    <w:sectPr w:rsidR="0025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42"/>
    <w:rsid w:val="00253365"/>
    <w:rsid w:val="00423942"/>
    <w:rsid w:val="009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D75D2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rsid w:val="009D7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D75D2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rsid w:val="009D7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2021-02-08T05:38:00Z</dcterms:created>
  <dcterms:modified xsi:type="dcterms:W3CDTF">2021-02-08T05:39:00Z</dcterms:modified>
</cp:coreProperties>
</file>