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A" w:rsidRDefault="004A683A" w:rsidP="004A683A">
      <w:pPr>
        <w:pStyle w:val="a5"/>
        <w:ind w:firstLine="0"/>
        <w:contextualSpacing/>
        <w:jc w:val="center"/>
        <w:rPr>
          <w:b/>
          <w:sz w:val="36"/>
        </w:rPr>
      </w:pPr>
      <w:r w:rsidRPr="004A683A">
        <w:rPr>
          <w:b/>
          <w:noProof/>
          <w:sz w:val="36"/>
        </w:rPr>
        <w:drawing>
          <wp:inline distT="0" distB="0" distL="0" distR="0" wp14:anchorId="3A710C35" wp14:editId="1DEE205A">
            <wp:extent cx="713294" cy="79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94" cy="7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3A" w:rsidRDefault="004A683A" w:rsidP="004A683A">
      <w:pPr>
        <w:pStyle w:val="a5"/>
        <w:ind w:firstLine="0"/>
        <w:contextualSpacing/>
        <w:jc w:val="center"/>
        <w:rPr>
          <w:b/>
          <w:sz w:val="36"/>
        </w:rPr>
      </w:pPr>
    </w:p>
    <w:p w:rsidR="00F32982" w:rsidRPr="001020AE" w:rsidRDefault="00F32982" w:rsidP="00F32982">
      <w:pPr>
        <w:pStyle w:val="a5"/>
        <w:ind w:firstLine="0"/>
        <w:contextualSpacing/>
        <w:jc w:val="center"/>
        <w:rPr>
          <w:b/>
          <w:sz w:val="36"/>
        </w:rPr>
      </w:pPr>
      <w:r w:rsidRPr="001020AE">
        <w:rPr>
          <w:b/>
          <w:sz w:val="36"/>
        </w:rPr>
        <w:t>АДМИНИСТРАЦИЯ БЕРЕЗОВСКОГО РАЙОНА</w:t>
      </w:r>
    </w:p>
    <w:p w:rsidR="00F32982" w:rsidRPr="001020AE" w:rsidRDefault="00F32982" w:rsidP="00F32982">
      <w:pPr>
        <w:contextualSpacing/>
        <w:jc w:val="center"/>
        <w:rPr>
          <w:b/>
          <w:sz w:val="8"/>
          <w:szCs w:val="8"/>
        </w:rPr>
      </w:pPr>
    </w:p>
    <w:p w:rsidR="00B70AC4" w:rsidRDefault="00B70AC4" w:rsidP="00F32982">
      <w:pPr>
        <w:contextualSpacing/>
        <w:jc w:val="center"/>
        <w:rPr>
          <w:b/>
          <w:sz w:val="20"/>
        </w:rPr>
      </w:pPr>
    </w:p>
    <w:p w:rsidR="00F32982" w:rsidRPr="001020AE" w:rsidRDefault="00F32982" w:rsidP="00F32982">
      <w:pPr>
        <w:contextualSpacing/>
        <w:jc w:val="center"/>
        <w:rPr>
          <w:b/>
          <w:sz w:val="20"/>
        </w:rPr>
      </w:pPr>
      <w:r w:rsidRPr="001020AE">
        <w:rPr>
          <w:b/>
          <w:sz w:val="20"/>
        </w:rPr>
        <w:t>ХАНТЫ-МАНСИЙСКОГО АВТОНОМНОГО ОКРУГА – ЮГРЫ</w:t>
      </w:r>
    </w:p>
    <w:p w:rsidR="00F32982" w:rsidRPr="001020AE" w:rsidRDefault="00F32982" w:rsidP="00F32982">
      <w:pPr>
        <w:contextualSpacing/>
        <w:jc w:val="center"/>
        <w:rPr>
          <w:b/>
          <w:sz w:val="16"/>
          <w:szCs w:val="16"/>
        </w:rPr>
      </w:pPr>
    </w:p>
    <w:p w:rsidR="00F32982" w:rsidRPr="001020AE" w:rsidRDefault="00F32982" w:rsidP="00F32982">
      <w:pPr>
        <w:pStyle w:val="a3"/>
        <w:contextualSpacing/>
        <w:jc w:val="center"/>
        <w:rPr>
          <w:b/>
          <w:sz w:val="36"/>
          <w:szCs w:val="36"/>
        </w:rPr>
      </w:pPr>
      <w:r w:rsidRPr="001020AE">
        <w:rPr>
          <w:b/>
          <w:sz w:val="36"/>
          <w:szCs w:val="36"/>
        </w:rPr>
        <w:t xml:space="preserve">ПОСТАНОВЛЕНИЕ </w:t>
      </w:r>
    </w:p>
    <w:p w:rsidR="005B31D0" w:rsidRPr="00AE467F" w:rsidRDefault="005B31D0" w:rsidP="005B31D0">
      <w:pPr>
        <w:pStyle w:val="a3"/>
        <w:tabs>
          <w:tab w:val="left" w:pos="709"/>
          <w:tab w:val="left" w:pos="993"/>
        </w:tabs>
        <w:contextualSpacing/>
        <w:rPr>
          <w:sz w:val="28"/>
          <w:szCs w:val="28"/>
        </w:rPr>
      </w:pPr>
    </w:p>
    <w:p w:rsidR="005B31D0" w:rsidRPr="00AE467F" w:rsidRDefault="00B70AC4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AE467F">
        <w:rPr>
          <w:sz w:val="28"/>
          <w:szCs w:val="28"/>
        </w:rPr>
        <w:t>т</w:t>
      </w:r>
      <w:r>
        <w:rPr>
          <w:sz w:val="28"/>
          <w:szCs w:val="28"/>
        </w:rPr>
        <w:t xml:space="preserve">  15.01.</w:t>
      </w:r>
      <w:r w:rsidR="007000D6" w:rsidRPr="00AE467F">
        <w:rPr>
          <w:sz w:val="28"/>
          <w:szCs w:val="28"/>
        </w:rPr>
        <w:t>202</w:t>
      </w:r>
      <w:r w:rsidR="004A683A">
        <w:rPr>
          <w:sz w:val="28"/>
          <w:szCs w:val="28"/>
        </w:rPr>
        <w:t>4</w:t>
      </w:r>
      <w:r w:rsidR="005B31D0" w:rsidRPr="00AE467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5B31D0" w:rsidRPr="00AE467F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5B31D0" w:rsidRPr="00AE467F" w:rsidRDefault="005B31D0" w:rsidP="005B31D0">
      <w:pPr>
        <w:contextualSpacing/>
        <w:rPr>
          <w:sz w:val="28"/>
          <w:szCs w:val="28"/>
        </w:rPr>
      </w:pPr>
      <w:proofErr w:type="spellStart"/>
      <w:r w:rsidRPr="00AE467F">
        <w:rPr>
          <w:sz w:val="28"/>
          <w:szCs w:val="28"/>
        </w:rPr>
        <w:t>пгт</w:t>
      </w:r>
      <w:proofErr w:type="spellEnd"/>
      <w:r w:rsidRPr="00AE467F">
        <w:rPr>
          <w:sz w:val="28"/>
          <w:szCs w:val="28"/>
        </w:rPr>
        <w:t>. Березово</w:t>
      </w:r>
    </w:p>
    <w:p w:rsidR="005B31D0" w:rsidRPr="00AE467F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D42140" w:rsidRDefault="007F7192" w:rsidP="002D5E33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 w:rsidRPr="00AE467F">
        <w:rPr>
          <w:bCs/>
          <w:kern w:val="28"/>
          <w:sz w:val="28"/>
          <w:szCs w:val="28"/>
        </w:rPr>
        <w:t>О внесении изменений в постановление админис</w:t>
      </w:r>
      <w:r w:rsidR="00DD28AE">
        <w:rPr>
          <w:bCs/>
          <w:kern w:val="28"/>
          <w:sz w:val="28"/>
          <w:szCs w:val="28"/>
        </w:rPr>
        <w:t>трации Березовского района от 13.09</w:t>
      </w:r>
      <w:r w:rsidR="00A24BC3">
        <w:rPr>
          <w:bCs/>
          <w:kern w:val="28"/>
          <w:sz w:val="28"/>
          <w:szCs w:val="28"/>
        </w:rPr>
        <w:t>.2022</w:t>
      </w:r>
      <w:r w:rsidR="002D5E33">
        <w:rPr>
          <w:bCs/>
          <w:kern w:val="28"/>
          <w:sz w:val="28"/>
          <w:szCs w:val="28"/>
        </w:rPr>
        <w:t xml:space="preserve"> </w:t>
      </w:r>
      <w:r w:rsidR="00DD28AE">
        <w:rPr>
          <w:bCs/>
          <w:kern w:val="28"/>
          <w:sz w:val="28"/>
          <w:szCs w:val="28"/>
        </w:rPr>
        <w:t>№ 121</w:t>
      </w:r>
      <w:r w:rsidR="00A24BC3">
        <w:rPr>
          <w:bCs/>
          <w:kern w:val="28"/>
          <w:sz w:val="28"/>
          <w:szCs w:val="28"/>
        </w:rPr>
        <w:t>0</w:t>
      </w:r>
      <w:r w:rsidRPr="00AE467F">
        <w:rPr>
          <w:bCs/>
          <w:kern w:val="28"/>
          <w:sz w:val="28"/>
          <w:szCs w:val="28"/>
        </w:rPr>
        <w:t xml:space="preserve"> «</w:t>
      </w:r>
      <w:r w:rsidR="00E24251" w:rsidRPr="00E24251">
        <w:rPr>
          <w:bCs/>
          <w:kern w:val="28"/>
          <w:sz w:val="28"/>
          <w:szCs w:val="28"/>
        </w:rPr>
        <w:t xml:space="preserve">Об утверждении правил землепользования и застройки </w:t>
      </w:r>
      <w:r w:rsidR="00DD28AE">
        <w:rPr>
          <w:bCs/>
          <w:kern w:val="28"/>
          <w:sz w:val="28"/>
          <w:szCs w:val="28"/>
        </w:rPr>
        <w:t>сельского поселения Приполярный</w:t>
      </w:r>
      <w:r w:rsidRPr="00D42140">
        <w:rPr>
          <w:kern w:val="28"/>
          <w:sz w:val="28"/>
          <w:szCs w:val="28"/>
        </w:rPr>
        <w:t>»</w:t>
      </w:r>
    </w:p>
    <w:bookmarkEnd w:id="0"/>
    <w:p w:rsidR="005B31D0" w:rsidRPr="00AE467F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AE467F" w:rsidRDefault="00EF30B8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Default="001866F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3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адм</w:t>
      </w:r>
      <w:r w:rsidR="007F7192" w:rsidRPr="00AE467F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AE467F">
        <w:rPr>
          <w:rFonts w:ascii="Times New Roman" w:hAnsi="Times New Roman" w:cs="Times New Roman"/>
          <w:sz w:val="28"/>
          <w:szCs w:val="28"/>
        </w:rPr>
        <w:t xml:space="preserve"> </w:t>
      </w:r>
      <w:r w:rsidR="00DD28AE">
        <w:rPr>
          <w:rFonts w:ascii="Times New Roman" w:hAnsi="Times New Roman" w:cs="Times New Roman"/>
          <w:sz w:val="28"/>
          <w:szCs w:val="28"/>
        </w:rPr>
        <w:t>от 13.09</w:t>
      </w:r>
      <w:r w:rsidR="00A24BC3">
        <w:rPr>
          <w:rFonts w:ascii="Times New Roman" w:hAnsi="Times New Roman" w:cs="Times New Roman"/>
          <w:sz w:val="28"/>
          <w:szCs w:val="28"/>
        </w:rPr>
        <w:t>.2022</w:t>
      </w:r>
      <w:r w:rsidR="00DD28AE">
        <w:rPr>
          <w:rFonts w:ascii="Times New Roman" w:hAnsi="Times New Roman" w:cs="Times New Roman"/>
          <w:sz w:val="28"/>
          <w:szCs w:val="28"/>
        </w:rPr>
        <w:t xml:space="preserve"> № 1210</w:t>
      </w:r>
      <w:r w:rsidR="00A24BC3" w:rsidRPr="00A24BC3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="00DD28AE">
        <w:rPr>
          <w:rFonts w:ascii="Times New Roman" w:hAnsi="Times New Roman" w:cs="Times New Roman"/>
          <w:sz w:val="28"/>
          <w:szCs w:val="28"/>
        </w:rPr>
        <w:t>Приполярный</w:t>
      </w:r>
      <w:r w:rsidR="00A24BC3" w:rsidRPr="00A24BC3">
        <w:rPr>
          <w:rFonts w:ascii="Times New Roman" w:hAnsi="Times New Roman" w:cs="Times New Roman"/>
          <w:sz w:val="28"/>
          <w:szCs w:val="28"/>
        </w:rPr>
        <w:t>»</w:t>
      </w:r>
      <w:r w:rsidR="00D333CA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A24BC3">
        <w:rPr>
          <w:rFonts w:ascii="Times New Roman" w:hAnsi="Times New Roman" w:cs="Times New Roman"/>
          <w:sz w:val="28"/>
          <w:szCs w:val="28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6CAF" w:rsidRDefault="00C16CA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I</w:t>
      </w:r>
      <w:r w:rsidRPr="00C16CAF">
        <w:rPr>
          <w:rFonts w:ascii="Times New Roman" w:hAnsi="Times New Roman" w:cs="Times New Roman"/>
          <w:sz w:val="28"/>
          <w:szCs w:val="28"/>
        </w:rPr>
        <w:t>:</w:t>
      </w:r>
    </w:p>
    <w:p w:rsidR="00AA4BB0" w:rsidRDefault="00E92EA3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D333CA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333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статьи 12 главы 3</w:t>
      </w:r>
      <w:r w:rsidR="00AA4BB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333CA">
        <w:rPr>
          <w:rFonts w:ascii="Times New Roman" w:hAnsi="Times New Roman" w:cs="Times New Roman"/>
          <w:sz w:val="28"/>
          <w:szCs w:val="28"/>
        </w:rPr>
        <w:t>абзацем вторым</w:t>
      </w:r>
      <w:r w:rsidR="00AA4BB0" w:rsidRPr="00AA4B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A4BB0" w:rsidRDefault="00D333CA" w:rsidP="00AA4B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BB0" w:rsidRPr="00AA4BB0">
        <w:rPr>
          <w:rFonts w:ascii="Times New Roman" w:hAnsi="Times New Roman" w:cs="Times New Roman"/>
          <w:sz w:val="28"/>
          <w:szCs w:val="28"/>
        </w:rPr>
        <w:t>требования к архитектурно-градостроительному облику объектов капитального строительства</w:t>
      </w:r>
      <w:proofErr w:type="gramStart"/>
      <w:r w:rsidR="00AA4BB0" w:rsidRPr="00AA4BB0">
        <w:rPr>
          <w:rFonts w:ascii="Times New Roman" w:hAnsi="Times New Roman" w:cs="Times New Roman"/>
          <w:sz w:val="28"/>
          <w:szCs w:val="28"/>
        </w:rPr>
        <w:t>;</w:t>
      </w:r>
      <w:r w:rsidR="00AA4B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4BB0">
        <w:rPr>
          <w:rFonts w:ascii="Times New Roman" w:hAnsi="Times New Roman" w:cs="Times New Roman"/>
          <w:sz w:val="28"/>
          <w:szCs w:val="28"/>
        </w:rPr>
        <w:t>;</w:t>
      </w:r>
    </w:p>
    <w:p w:rsidR="00D42140" w:rsidRPr="00AB5A66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F95E85">
        <w:rPr>
          <w:sz w:val="28"/>
          <w:szCs w:val="28"/>
        </w:rPr>
        <w:t>1.1.</w:t>
      </w:r>
      <w:r w:rsidR="00AA4BB0">
        <w:rPr>
          <w:sz w:val="28"/>
          <w:szCs w:val="28"/>
        </w:rPr>
        <w:t>2</w:t>
      </w:r>
      <w:r w:rsidR="00C16CAF">
        <w:rPr>
          <w:sz w:val="28"/>
          <w:szCs w:val="28"/>
        </w:rPr>
        <w:t>.</w:t>
      </w:r>
      <w:r w:rsidRPr="00AB5A66">
        <w:rPr>
          <w:sz w:val="28"/>
          <w:szCs w:val="28"/>
        </w:rPr>
        <w:t xml:space="preserve"> </w:t>
      </w:r>
      <w:r w:rsidR="00521D1D">
        <w:rPr>
          <w:sz w:val="28"/>
          <w:szCs w:val="28"/>
        </w:rPr>
        <w:t>пункт 1 статьи 16</w:t>
      </w:r>
      <w:r w:rsidR="00507CE3">
        <w:rPr>
          <w:sz w:val="28"/>
          <w:szCs w:val="28"/>
        </w:rPr>
        <w:t xml:space="preserve"> главы 3</w:t>
      </w:r>
      <w:r>
        <w:rPr>
          <w:sz w:val="28"/>
          <w:szCs w:val="28"/>
        </w:rPr>
        <w:t xml:space="preserve"> </w:t>
      </w:r>
      <w:r w:rsidRPr="00AB5A66">
        <w:rPr>
          <w:bCs/>
          <w:sz w:val="28"/>
          <w:szCs w:val="28"/>
        </w:rPr>
        <w:t>изложить в следующей редакции:</w:t>
      </w:r>
    </w:p>
    <w:p w:rsidR="00D42140" w:rsidRDefault="00D42140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AB5A66">
        <w:rPr>
          <w:sz w:val="28"/>
          <w:szCs w:val="28"/>
        </w:rPr>
        <w:t xml:space="preserve"> «</w:t>
      </w:r>
      <w:r w:rsidR="00521D1D">
        <w:rPr>
          <w:sz w:val="28"/>
          <w:szCs w:val="28"/>
        </w:rPr>
        <w:t xml:space="preserve">1. </w:t>
      </w:r>
      <w:r w:rsidR="00507CE3" w:rsidRPr="00507CE3">
        <w:rPr>
          <w:rFonts w:eastAsiaTheme="minorHAnsi"/>
          <w:sz w:val="28"/>
          <w:szCs w:val="28"/>
          <w:lang w:eastAsia="en-US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</w:t>
      </w:r>
      <w:r w:rsidR="00507CE3"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 w:rsidR="00507CE3">
        <w:rPr>
          <w:rFonts w:eastAsiaTheme="minorHAnsi"/>
          <w:sz w:val="28"/>
          <w:szCs w:val="28"/>
          <w:lang w:eastAsia="en-US"/>
        </w:rPr>
        <w:t>.</w:t>
      </w:r>
      <w:r w:rsidRPr="00AB5A66">
        <w:rPr>
          <w:rFonts w:eastAsiaTheme="minorHAnsi"/>
          <w:bCs/>
          <w:sz w:val="28"/>
          <w:lang w:eastAsia="en-US"/>
        </w:rPr>
        <w:t>»;</w:t>
      </w:r>
      <w:proofErr w:type="gramEnd"/>
    </w:p>
    <w:p w:rsidR="008C0858" w:rsidRPr="008C0858" w:rsidRDefault="008C0858" w:rsidP="008C08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1.1.3</w:t>
      </w:r>
      <w:r w:rsidRPr="008C0858">
        <w:rPr>
          <w:rFonts w:eastAsiaTheme="minorHAnsi"/>
          <w:bCs/>
          <w:sz w:val="28"/>
          <w:lang w:eastAsia="en-US"/>
        </w:rPr>
        <w:t>. пункт 1 статьи 18 главы 4 изложить в следующей редакции:</w:t>
      </w:r>
    </w:p>
    <w:p w:rsidR="008C0858" w:rsidRDefault="008C0858" w:rsidP="008C08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8C0858">
        <w:rPr>
          <w:rFonts w:eastAsiaTheme="minorHAnsi"/>
          <w:bCs/>
          <w:sz w:val="28"/>
          <w:lang w:eastAsia="en-US"/>
        </w:rPr>
        <w:lastRenderedPageBreak/>
        <w:t>«1. Срок проведения общественных обсуждений или публичных слушаний по проекту генерального плана поселения, а также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 не может превышать один месяц</w:t>
      </w:r>
      <w:proofErr w:type="gramStart"/>
      <w:r w:rsidRPr="008C0858">
        <w:rPr>
          <w:rFonts w:eastAsiaTheme="minorHAnsi"/>
          <w:bCs/>
          <w:sz w:val="28"/>
          <w:lang w:eastAsia="en-US"/>
        </w:rPr>
        <w:t>.»;</w:t>
      </w:r>
      <w:proofErr w:type="gramEnd"/>
    </w:p>
    <w:p w:rsidR="00667D69" w:rsidRDefault="00667D69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1.1.</w:t>
      </w:r>
      <w:r w:rsidR="008C0858">
        <w:rPr>
          <w:rFonts w:eastAsiaTheme="minorHAnsi"/>
          <w:bCs/>
          <w:sz w:val="28"/>
          <w:lang w:eastAsia="en-US"/>
        </w:rPr>
        <w:t>4</w:t>
      </w:r>
      <w:r w:rsidRPr="00667D69">
        <w:rPr>
          <w:rFonts w:eastAsiaTheme="minorHAnsi"/>
          <w:bCs/>
          <w:sz w:val="28"/>
          <w:lang w:eastAsia="en-US"/>
        </w:rPr>
        <w:t>.</w:t>
      </w:r>
      <w:r w:rsidR="00D11BE5" w:rsidRPr="00D11BE5">
        <w:t xml:space="preserve"> </w:t>
      </w:r>
      <w:r w:rsidR="00D11BE5">
        <w:rPr>
          <w:rFonts w:eastAsiaTheme="minorHAnsi"/>
          <w:bCs/>
          <w:sz w:val="28"/>
          <w:lang w:eastAsia="en-US"/>
        </w:rPr>
        <w:t>пункт 3</w:t>
      </w:r>
      <w:r w:rsidR="00D11BE5" w:rsidRPr="00D11BE5">
        <w:rPr>
          <w:rFonts w:eastAsiaTheme="minorHAnsi"/>
          <w:bCs/>
          <w:sz w:val="28"/>
          <w:lang w:eastAsia="en-US"/>
        </w:rPr>
        <w:t xml:space="preserve"> статьи 18 главы 4 изложить в следующей редакции:</w:t>
      </w:r>
    </w:p>
    <w:p w:rsidR="00667D69" w:rsidRDefault="00667D69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«</w:t>
      </w:r>
      <w:r w:rsidRPr="00667D69">
        <w:rPr>
          <w:rFonts w:eastAsiaTheme="minorHAnsi"/>
          <w:bCs/>
          <w:sz w:val="28"/>
          <w:lang w:eastAsia="en-US"/>
        </w:rPr>
        <w:t>3. Продолжительность общественных обсуждений или публичных слушаний по проекту правил землепользования и застройки поселения, а также проекту о внесении изменений в правила землепользования и застройки поселения составляет не более одного месяца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667D69">
        <w:rPr>
          <w:rFonts w:eastAsiaTheme="minorHAnsi"/>
          <w:bCs/>
          <w:sz w:val="28"/>
          <w:lang w:eastAsia="en-US"/>
        </w:rPr>
        <w:t>со дня опубликования соответствующего проекта</w:t>
      </w:r>
      <w:proofErr w:type="gramStart"/>
      <w:r w:rsidRPr="00667D69">
        <w:rPr>
          <w:rFonts w:eastAsiaTheme="minorHAnsi"/>
          <w:bCs/>
          <w:sz w:val="28"/>
          <w:lang w:eastAsia="en-US"/>
        </w:rPr>
        <w:t>.</w:t>
      </w:r>
      <w:r>
        <w:rPr>
          <w:rFonts w:eastAsiaTheme="minorHAnsi"/>
          <w:bCs/>
          <w:sz w:val="28"/>
          <w:lang w:eastAsia="en-US"/>
        </w:rPr>
        <w:t>»;</w:t>
      </w:r>
      <w:proofErr w:type="gramEnd"/>
    </w:p>
    <w:p w:rsidR="00667D69" w:rsidRDefault="00667D69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1.1.</w:t>
      </w:r>
      <w:r w:rsidR="008C0858">
        <w:rPr>
          <w:rFonts w:eastAsiaTheme="minorHAnsi"/>
          <w:bCs/>
          <w:sz w:val="28"/>
          <w:lang w:eastAsia="en-US"/>
        </w:rPr>
        <w:t>5</w:t>
      </w:r>
      <w:r>
        <w:rPr>
          <w:rFonts w:eastAsiaTheme="minorHAnsi"/>
          <w:bCs/>
          <w:sz w:val="28"/>
          <w:lang w:eastAsia="en-US"/>
        </w:rPr>
        <w:t>. пункт 5 статьи 18 главы 4</w:t>
      </w:r>
      <w:r w:rsidRPr="00667D69">
        <w:rPr>
          <w:rFonts w:eastAsiaTheme="minorHAnsi"/>
          <w:bCs/>
          <w:sz w:val="28"/>
          <w:lang w:eastAsia="en-US"/>
        </w:rPr>
        <w:t xml:space="preserve"> изложить в следующей редакции:</w:t>
      </w:r>
    </w:p>
    <w:p w:rsidR="00667D69" w:rsidRDefault="00667D69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«</w:t>
      </w:r>
      <w:r w:rsidRPr="00667D69">
        <w:rPr>
          <w:rFonts w:eastAsiaTheme="minorHAnsi"/>
          <w:bCs/>
          <w:sz w:val="28"/>
          <w:lang w:eastAsia="en-US"/>
        </w:rPr>
        <w:t>5. Срок проведения общественных обсуждений или публичных слушаний по проектам планировки территории и проектам межевания территории не может быть менее четырнадцати дней и более тридцати дней</w:t>
      </w:r>
      <w:r>
        <w:rPr>
          <w:rFonts w:eastAsiaTheme="minorHAnsi"/>
          <w:bCs/>
          <w:sz w:val="28"/>
          <w:lang w:eastAsia="en-US"/>
        </w:rPr>
        <w:t xml:space="preserve"> </w:t>
      </w:r>
      <w:r w:rsidRPr="00667D69">
        <w:rPr>
          <w:rFonts w:eastAsiaTheme="minorHAnsi"/>
          <w:bCs/>
          <w:sz w:val="28"/>
          <w:lang w:eastAsia="en-US"/>
        </w:rPr>
        <w:t>со дня оповещения жителей поселения о времени и месте их проведения до дня опубликования заключения о результатах общественных обсуждений или публичных слушаний</w:t>
      </w:r>
      <w:proofErr w:type="gramStart"/>
      <w:r w:rsidRPr="00667D69">
        <w:rPr>
          <w:rFonts w:eastAsiaTheme="minorHAnsi"/>
          <w:bCs/>
          <w:sz w:val="28"/>
          <w:lang w:eastAsia="en-US"/>
        </w:rPr>
        <w:t>.</w:t>
      </w:r>
      <w:r>
        <w:rPr>
          <w:rFonts w:eastAsiaTheme="minorHAnsi"/>
          <w:bCs/>
          <w:sz w:val="28"/>
          <w:lang w:eastAsia="en-US"/>
        </w:rPr>
        <w:t>»;</w:t>
      </w:r>
      <w:proofErr w:type="gramEnd"/>
    </w:p>
    <w:p w:rsidR="008C0858" w:rsidRPr="008C0858" w:rsidRDefault="008C0858" w:rsidP="008C08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1.1.6</w:t>
      </w:r>
      <w:r w:rsidRPr="008C0858">
        <w:rPr>
          <w:rFonts w:eastAsiaTheme="minorHAnsi"/>
          <w:bCs/>
          <w:sz w:val="28"/>
          <w:lang w:eastAsia="en-US"/>
        </w:rPr>
        <w:t xml:space="preserve">. </w:t>
      </w:r>
      <w:r w:rsidR="00D333CA">
        <w:rPr>
          <w:rFonts w:eastAsiaTheme="minorHAnsi"/>
          <w:bCs/>
          <w:sz w:val="28"/>
          <w:lang w:eastAsia="en-US"/>
        </w:rPr>
        <w:t xml:space="preserve">подпункт 4 </w:t>
      </w:r>
      <w:r w:rsidRPr="008C0858">
        <w:rPr>
          <w:rFonts w:eastAsiaTheme="minorHAnsi"/>
          <w:bCs/>
          <w:sz w:val="28"/>
          <w:lang w:eastAsia="en-US"/>
        </w:rPr>
        <w:t>пункт</w:t>
      </w:r>
      <w:r w:rsidR="00D333CA">
        <w:rPr>
          <w:rFonts w:eastAsiaTheme="minorHAnsi"/>
          <w:bCs/>
          <w:sz w:val="28"/>
          <w:lang w:eastAsia="en-US"/>
        </w:rPr>
        <w:t>а</w:t>
      </w:r>
      <w:r w:rsidRPr="008C0858">
        <w:rPr>
          <w:rFonts w:eastAsiaTheme="minorHAnsi"/>
          <w:bCs/>
          <w:sz w:val="28"/>
          <w:lang w:eastAsia="en-US"/>
        </w:rPr>
        <w:t xml:space="preserve"> 2 статьи 19 главы 5 дополнить </w:t>
      </w:r>
      <w:r w:rsidR="00D333CA">
        <w:rPr>
          <w:rFonts w:eastAsiaTheme="minorHAnsi"/>
          <w:bCs/>
          <w:sz w:val="28"/>
          <w:lang w:eastAsia="en-US"/>
        </w:rPr>
        <w:t>абзацем вторым</w:t>
      </w:r>
      <w:r w:rsidRPr="008C0858">
        <w:rPr>
          <w:rFonts w:eastAsiaTheme="minorHAnsi"/>
          <w:bCs/>
          <w:sz w:val="28"/>
          <w:lang w:eastAsia="en-US"/>
        </w:rPr>
        <w:t xml:space="preserve"> следующего содержания:</w:t>
      </w:r>
    </w:p>
    <w:p w:rsidR="00667D69" w:rsidRPr="00521D1D" w:rsidRDefault="00D333CA" w:rsidP="008C08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proofErr w:type="gramStart"/>
      <w:r>
        <w:rPr>
          <w:rFonts w:eastAsiaTheme="minorHAnsi"/>
          <w:bCs/>
          <w:sz w:val="28"/>
          <w:lang w:eastAsia="en-US"/>
        </w:rPr>
        <w:t>«</w:t>
      </w:r>
      <w:r w:rsidR="008C0858" w:rsidRPr="008C0858">
        <w:rPr>
          <w:rFonts w:eastAsiaTheme="minorHAnsi"/>
          <w:bCs/>
          <w:sz w:val="28"/>
          <w:lang w:eastAsia="en-US"/>
        </w:rPr>
        <w:t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пунктов;»;</w:t>
      </w:r>
      <w:proofErr w:type="gramEnd"/>
    </w:p>
    <w:p w:rsidR="00521D1D" w:rsidRPr="00521D1D" w:rsidRDefault="00521D1D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521D1D">
        <w:rPr>
          <w:rFonts w:eastAsiaTheme="minorHAnsi"/>
          <w:bCs/>
          <w:sz w:val="28"/>
          <w:lang w:eastAsia="en-US"/>
        </w:rPr>
        <w:t>1.1</w:t>
      </w:r>
      <w:r>
        <w:rPr>
          <w:rFonts w:eastAsiaTheme="minorHAnsi"/>
          <w:bCs/>
          <w:sz w:val="28"/>
          <w:lang w:eastAsia="en-US"/>
        </w:rPr>
        <w:t>.</w:t>
      </w:r>
      <w:r w:rsidR="008C0858">
        <w:rPr>
          <w:rFonts w:eastAsiaTheme="minorHAnsi"/>
          <w:bCs/>
          <w:sz w:val="28"/>
          <w:lang w:eastAsia="en-US"/>
        </w:rPr>
        <w:t>7</w:t>
      </w:r>
      <w:r w:rsidRPr="00521D1D">
        <w:rPr>
          <w:rFonts w:eastAsiaTheme="minorHAnsi"/>
          <w:bCs/>
          <w:sz w:val="28"/>
          <w:lang w:eastAsia="en-US"/>
        </w:rPr>
        <w:t>. пункт 2 статьи 19 главы 5 дополнить подпунктом 9 следующего содержания:</w:t>
      </w:r>
    </w:p>
    <w:p w:rsidR="00521D1D" w:rsidRDefault="00521D1D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521D1D">
        <w:rPr>
          <w:rFonts w:eastAsiaTheme="minorHAnsi"/>
          <w:bCs/>
          <w:sz w:val="28"/>
          <w:lang w:eastAsia="en-US"/>
        </w:rPr>
        <w:t>«9)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</w:t>
      </w:r>
      <w:r w:rsidR="008F1482">
        <w:rPr>
          <w:rFonts w:eastAsiaTheme="minorHAnsi"/>
          <w:bCs/>
          <w:sz w:val="28"/>
          <w:lang w:eastAsia="en-US"/>
        </w:rPr>
        <w:t xml:space="preserve"> границах территориальных зон</w:t>
      </w:r>
      <w:proofErr w:type="gramStart"/>
      <w:r w:rsidR="008F1482">
        <w:rPr>
          <w:rFonts w:eastAsiaTheme="minorHAnsi"/>
          <w:bCs/>
          <w:sz w:val="28"/>
          <w:lang w:eastAsia="en-US"/>
        </w:rPr>
        <w:t>.».</w:t>
      </w:r>
      <w:proofErr w:type="gramEnd"/>
    </w:p>
    <w:p w:rsidR="00521D1D" w:rsidRDefault="005469C2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1.2</w:t>
      </w:r>
      <w:r w:rsidRPr="005469C2">
        <w:rPr>
          <w:rFonts w:eastAsiaTheme="minorHAnsi"/>
          <w:bCs/>
          <w:sz w:val="28"/>
          <w:lang w:eastAsia="en-US"/>
        </w:rPr>
        <w:t>. В разделе I</w:t>
      </w:r>
      <w:r>
        <w:rPr>
          <w:rFonts w:eastAsiaTheme="minorHAnsi"/>
          <w:bCs/>
          <w:sz w:val="28"/>
          <w:lang w:val="en-US" w:eastAsia="en-US"/>
        </w:rPr>
        <w:t>II</w:t>
      </w:r>
      <w:r w:rsidRPr="005469C2">
        <w:rPr>
          <w:rFonts w:eastAsiaTheme="minorHAnsi"/>
          <w:bCs/>
          <w:sz w:val="28"/>
          <w:lang w:eastAsia="en-US"/>
        </w:rPr>
        <w:t>:</w:t>
      </w:r>
    </w:p>
    <w:p w:rsidR="008E08AF" w:rsidRDefault="008E08AF" w:rsidP="00D42140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eastAsiaTheme="minorHAnsi"/>
          <w:bCs/>
          <w:sz w:val="28"/>
          <w:lang w:eastAsia="en-US"/>
        </w:rPr>
        <w:t>1.2.1.</w:t>
      </w:r>
      <w:r w:rsidR="00E118CA" w:rsidRPr="00E118CA">
        <w:rPr>
          <w:rFonts w:cs="Calibri"/>
          <w:sz w:val="28"/>
          <w:szCs w:val="28"/>
        </w:rPr>
        <w:t xml:space="preserve"> </w:t>
      </w:r>
      <w:r w:rsidR="00E118CA">
        <w:rPr>
          <w:rFonts w:cs="Calibri"/>
          <w:sz w:val="28"/>
          <w:szCs w:val="28"/>
        </w:rPr>
        <w:t>таблицу первую подпункта 1.1 статьи 1 дополнить строкой следующего содержания:</w:t>
      </w:r>
    </w:p>
    <w:p w:rsidR="00E118CA" w:rsidRDefault="00E118CA" w:rsidP="002139C9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687"/>
        <w:gridCol w:w="2473"/>
        <w:gridCol w:w="3243"/>
      </w:tblGrid>
      <w:tr w:rsidR="00334C10" w:rsidRPr="00EB5324" w:rsidTr="001F059E">
        <w:trPr>
          <w:trHeight w:val="20"/>
        </w:trPr>
        <w:tc>
          <w:tcPr>
            <w:tcW w:w="828" w:type="pct"/>
          </w:tcPr>
          <w:p w:rsidR="002139C9" w:rsidRPr="002139C9" w:rsidRDefault="002139C9" w:rsidP="001F059E">
            <w:pPr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334" w:type="pct"/>
          </w:tcPr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proofErr w:type="gramStart"/>
            <w:r w:rsidRPr="002139C9">
              <w:rPr>
                <w:sz w:val="22"/>
                <w:szCs w:val="22"/>
              </w:rPr>
              <w:t xml:space="preserve">Размещение жилого дома, имеющего одну или несколько общих стен с соседними жилыми </w:t>
            </w:r>
            <w:r w:rsidRPr="002139C9">
              <w:rPr>
                <w:sz w:val="22"/>
                <w:szCs w:val="22"/>
              </w:rPr>
              <w:lastRenderedPageBreak/>
              <w:t>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139C9">
              <w:rPr>
                <w:sz w:val="22"/>
                <w:szCs w:val="22"/>
              </w:rPr>
              <w:t xml:space="preserve"> пользования (жилые дома блокированной застройки);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обустройство спортивных и детских площадок, площадок для отдыха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pct"/>
          </w:tcPr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lastRenderedPageBreak/>
              <w:t>Этажность – не более 3 наземных этажей.</w:t>
            </w:r>
            <w:r w:rsidR="00232E7A">
              <w:rPr>
                <w:sz w:val="22"/>
                <w:szCs w:val="22"/>
              </w:rPr>
              <w:t xml:space="preserve"> </w:t>
            </w:r>
            <w:r w:rsidRPr="002139C9">
              <w:rPr>
                <w:sz w:val="22"/>
                <w:szCs w:val="22"/>
              </w:rPr>
              <w:t xml:space="preserve">Минимальные отступы от границ земельного </w:t>
            </w:r>
            <w:r w:rsidRPr="002139C9">
              <w:rPr>
                <w:sz w:val="22"/>
                <w:szCs w:val="22"/>
              </w:rPr>
              <w:lastRenderedPageBreak/>
              <w:t>участка: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без отступа, со стороны примыкания соседнего жилого дома;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от красной линии улиц – 5 м;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от красной линии проездов – 3 м;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в условиях реконструкции - в соответствии со сложившейся линией застройки.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Размеры земельных участков: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минимальный – 200 кв. м;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максимальный –800 кв. м;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фронтальная сторона – не менее 5,5 м.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Высота ограждений: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не выше 2 м;</w:t>
            </w:r>
          </w:p>
          <w:p w:rsidR="002139C9" w:rsidRPr="002139C9" w:rsidRDefault="002139C9" w:rsidP="001F059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на перекрестке улиц в треугольнике видимости – не выше 0,5 м;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по фронтальной стороне участка – не выше 1,3 м.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Максимальный процент застройки в границах земельного участка – 75%, включая основное здание и вспомогательные строения, в том числе хозяйственные постройки.</w:t>
            </w:r>
          </w:p>
        </w:tc>
        <w:tc>
          <w:tcPr>
            <w:tcW w:w="1611" w:type="pct"/>
          </w:tcPr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lastRenderedPageBreak/>
              <w:t xml:space="preserve">Осуществление деятельности в границах зоны с особыми условиями использования территории (охранная зона): </w:t>
            </w:r>
            <w:r w:rsidRPr="002139C9">
              <w:rPr>
                <w:sz w:val="22"/>
                <w:szCs w:val="22"/>
              </w:rPr>
              <w:lastRenderedPageBreak/>
              <w:t>"Сооружение-ЛЭП-6 кВт №2"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 объекта: </w:t>
            </w:r>
            <w:proofErr w:type="gramStart"/>
            <w:r w:rsidRPr="002139C9">
              <w:rPr>
                <w:sz w:val="22"/>
                <w:szCs w:val="22"/>
              </w:rPr>
              <w:t xml:space="preserve">"Сооружения электроснабжения кабельные 0,4 </w:t>
            </w:r>
            <w:proofErr w:type="spellStart"/>
            <w:r w:rsidRPr="002139C9">
              <w:rPr>
                <w:sz w:val="22"/>
                <w:szCs w:val="22"/>
              </w:rPr>
              <w:t>кВ</w:t>
            </w:r>
            <w:proofErr w:type="spellEnd"/>
            <w:r w:rsidRPr="002139C9">
              <w:rPr>
                <w:sz w:val="22"/>
                <w:szCs w:val="22"/>
              </w:rPr>
              <w:t xml:space="preserve"> пекарни "</w:t>
            </w:r>
            <w:proofErr w:type="spellStart"/>
            <w:r w:rsidRPr="002139C9">
              <w:rPr>
                <w:sz w:val="22"/>
                <w:szCs w:val="22"/>
              </w:rPr>
              <w:t>Шаллер</w:t>
            </w:r>
            <w:proofErr w:type="spellEnd"/>
            <w:r w:rsidRPr="002139C9">
              <w:rPr>
                <w:sz w:val="22"/>
                <w:szCs w:val="22"/>
              </w:rPr>
              <w:t>" п. Приполярный"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  <w:proofErr w:type="gramEnd"/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>Осуществление деятельности в границах зоны с особыми условиями использования территории (охранная зона) объекта: "Сооружение - линии электропередач (электроснабжение) высокого напряжения 04-Кв"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зона): </w:t>
            </w:r>
            <w:proofErr w:type="gramStart"/>
            <w:r w:rsidRPr="002139C9">
              <w:rPr>
                <w:sz w:val="22"/>
                <w:szCs w:val="22"/>
              </w:rPr>
              <w:t xml:space="preserve">"Сооружение-ЛЭП-10 КВ от КС до насосной 1 подъема" в соответствии с Правилами установления охранных зон </w:t>
            </w:r>
            <w:r w:rsidRPr="002139C9">
              <w:rPr>
                <w:sz w:val="22"/>
                <w:szCs w:val="22"/>
              </w:rPr>
              <w:lastRenderedPageBreak/>
              <w:t>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  <w:proofErr w:type="gramEnd"/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 объекта: </w:t>
            </w:r>
            <w:proofErr w:type="gramStart"/>
            <w:r w:rsidRPr="002139C9">
              <w:rPr>
                <w:sz w:val="22"/>
                <w:szCs w:val="22"/>
              </w:rPr>
              <w:t xml:space="preserve">"Сети электроснабжения наружные КНС ж/дома 48 </w:t>
            </w:r>
            <w:proofErr w:type="spellStart"/>
            <w:r w:rsidRPr="002139C9">
              <w:rPr>
                <w:sz w:val="22"/>
                <w:szCs w:val="22"/>
              </w:rPr>
              <w:t>кв</w:t>
            </w:r>
            <w:proofErr w:type="spellEnd"/>
            <w:r w:rsidRPr="002139C9">
              <w:rPr>
                <w:sz w:val="22"/>
                <w:szCs w:val="22"/>
              </w:rPr>
              <w:t xml:space="preserve"> №3 4 </w:t>
            </w:r>
            <w:proofErr w:type="spellStart"/>
            <w:r w:rsidRPr="002139C9">
              <w:rPr>
                <w:sz w:val="22"/>
                <w:szCs w:val="22"/>
              </w:rPr>
              <w:t>мкр</w:t>
            </w:r>
            <w:proofErr w:type="spellEnd"/>
            <w:r w:rsidRPr="002139C9">
              <w:rPr>
                <w:sz w:val="22"/>
                <w:szCs w:val="22"/>
              </w:rPr>
              <w:t xml:space="preserve"> п. Приполярный"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  <w:proofErr w:type="gramEnd"/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 объекта: </w:t>
            </w:r>
            <w:proofErr w:type="gramStart"/>
            <w:r w:rsidRPr="002139C9">
              <w:rPr>
                <w:sz w:val="22"/>
                <w:szCs w:val="22"/>
              </w:rPr>
              <w:t>"Сооружение-сети электроснабжения наружные нежилое для обеспечения электричеством жилого дома п. Приполярный МК 34 дом 48"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  <w:proofErr w:type="gramEnd"/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зона): </w:t>
            </w:r>
            <w:proofErr w:type="gramStart"/>
            <w:r w:rsidRPr="002139C9">
              <w:rPr>
                <w:sz w:val="22"/>
                <w:szCs w:val="22"/>
              </w:rPr>
              <w:t xml:space="preserve">"Сооружение, сеть электроснабжения кабельная вахтового жилого дома КС "Приполярная" в соответствии с Правилами установления охранных зон объектов </w:t>
            </w:r>
            <w:r w:rsidRPr="002139C9">
              <w:rPr>
                <w:sz w:val="22"/>
                <w:szCs w:val="22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  <w:proofErr w:type="gramEnd"/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 объекта: </w:t>
            </w:r>
            <w:proofErr w:type="gramStart"/>
            <w:r w:rsidRPr="002139C9">
              <w:rPr>
                <w:sz w:val="22"/>
                <w:szCs w:val="22"/>
              </w:rPr>
              <w:t>"Сооружение-сети электроснабжения наружные"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160;</w:t>
            </w:r>
            <w:proofErr w:type="gramEnd"/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Осуществление деятельности в границах зоны с особыми условиями использования территории (охранная зона): "Сооружение-ЛЭП-6 КВ №2 </w:t>
            </w:r>
            <w:proofErr w:type="gramStart"/>
            <w:r w:rsidRPr="002139C9">
              <w:rPr>
                <w:sz w:val="22"/>
                <w:szCs w:val="22"/>
              </w:rPr>
              <w:t>КС-Ж</w:t>
            </w:r>
            <w:proofErr w:type="gramEnd"/>
            <w:r w:rsidRPr="002139C9">
              <w:rPr>
                <w:sz w:val="22"/>
                <w:szCs w:val="22"/>
              </w:rPr>
              <w:t>"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      </w:r>
          </w:p>
          <w:p w:rsidR="002139C9" w:rsidRPr="002139C9" w:rsidRDefault="002139C9" w:rsidP="001F059E">
            <w:pPr>
              <w:jc w:val="both"/>
              <w:rPr>
                <w:sz w:val="22"/>
                <w:szCs w:val="22"/>
              </w:rPr>
            </w:pPr>
            <w:r w:rsidRPr="002139C9">
              <w:rPr>
                <w:sz w:val="22"/>
                <w:szCs w:val="22"/>
              </w:rPr>
              <w:t xml:space="preserve">Ограничения использования земельных участков и объектов капитального строительства» вида разрешенного использования «Малоэтажная многоквартирная жилая застройка»: «Раздел проектной документации "Требования к безопасной эксплуатации объекта капитального строительства" является обязательным для вновь строящихся, реконструируемых и подвергающихся капитальному ремонту зданий (сооружений). Эксплуатация </w:t>
            </w:r>
            <w:r w:rsidRPr="002139C9">
              <w:rPr>
                <w:sz w:val="22"/>
                <w:szCs w:val="22"/>
              </w:rPr>
              <w:lastRenderedPageBreak/>
              <w:t>многоквартирных жилых зданий возможна только при обеспечении безопасных условий проживания в соответствии со Сводом Правил СП 372.1325800.2018 «Здания жилые многоквартирные. Правила эксплуатации»</w:t>
            </w:r>
          </w:p>
        </w:tc>
      </w:tr>
    </w:tbl>
    <w:p w:rsidR="002139C9" w:rsidRPr="005469C2" w:rsidRDefault="00FA74DF" w:rsidP="00FA74DF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lastRenderedPageBreak/>
        <w:t>»;</w:t>
      </w:r>
    </w:p>
    <w:p w:rsidR="005469C2" w:rsidRDefault="005469C2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5469C2">
        <w:rPr>
          <w:rFonts w:eastAsiaTheme="minorHAnsi"/>
          <w:bCs/>
          <w:sz w:val="28"/>
          <w:lang w:eastAsia="en-US"/>
        </w:rPr>
        <w:t>1</w:t>
      </w:r>
      <w:r w:rsidR="008E08AF">
        <w:rPr>
          <w:rFonts w:eastAsiaTheme="minorHAnsi"/>
          <w:bCs/>
          <w:sz w:val="28"/>
          <w:lang w:eastAsia="en-US"/>
        </w:rPr>
        <w:t>.2.2</w:t>
      </w:r>
      <w:r>
        <w:rPr>
          <w:rFonts w:eastAsiaTheme="minorHAnsi"/>
          <w:bCs/>
          <w:sz w:val="28"/>
          <w:lang w:eastAsia="en-US"/>
        </w:rPr>
        <w:t xml:space="preserve">. </w:t>
      </w:r>
      <w:r w:rsidR="00D333CA">
        <w:rPr>
          <w:rFonts w:eastAsiaTheme="minorHAnsi"/>
          <w:bCs/>
          <w:sz w:val="28"/>
          <w:lang w:eastAsia="en-US"/>
        </w:rPr>
        <w:t>строку «</w:t>
      </w:r>
      <w:r w:rsidR="00D333CA" w:rsidRPr="00D333CA">
        <w:rPr>
          <w:rFonts w:eastAsiaTheme="minorHAnsi"/>
          <w:bCs/>
          <w:sz w:val="28"/>
          <w:lang w:eastAsia="en-US"/>
        </w:rPr>
        <w:t>Охранные зоны объектов электросетевого хозяйства</w:t>
      </w:r>
      <w:r w:rsidR="00D333CA">
        <w:rPr>
          <w:rFonts w:eastAsiaTheme="minorHAnsi"/>
          <w:bCs/>
          <w:sz w:val="28"/>
          <w:lang w:eastAsia="en-US"/>
        </w:rPr>
        <w:t>»</w:t>
      </w:r>
      <w:r w:rsidR="009B5BDE" w:rsidRPr="009B5BDE">
        <w:rPr>
          <w:rFonts w:eastAsiaTheme="minorHAnsi"/>
          <w:bCs/>
          <w:sz w:val="28"/>
          <w:lang w:eastAsia="en-US"/>
        </w:rPr>
        <w:t xml:space="preserve"> </w:t>
      </w:r>
      <w:r w:rsidR="009B5BDE">
        <w:rPr>
          <w:rFonts w:eastAsiaTheme="minorHAnsi"/>
          <w:bCs/>
          <w:sz w:val="28"/>
          <w:lang w:eastAsia="en-US"/>
        </w:rPr>
        <w:t>Таблицы</w:t>
      </w:r>
      <w:r>
        <w:rPr>
          <w:rFonts w:eastAsiaTheme="minorHAnsi"/>
          <w:bCs/>
          <w:sz w:val="28"/>
          <w:lang w:eastAsia="en-US"/>
        </w:rPr>
        <w:t xml:space="preserve"> 1 Приложения</w:t>
      </w:r>
      <w:proofErr w:type="gramStart"/>
      <w:r>
        <w:rPr>
          <w:rFonts w:eastAsiaTheme="minorHAnsi"/>
          <w:bCs/>
          <w:sz w:val="28"/>
          <w:lang w:eastAsia="en-US"/>
        </w:rPr>
        <w:t xml:space="preserve"> А</w:t>
      </w:r>
      <w:proofErr w:type="gramEnd"/>
      <w:r w:rsidRPr="005469C2">
        <w:t xml:space="preserve"> </w:t>
      </w:r>
      <w:r w:rsidR="00D333CA" w:rsidRPr="00D333CA">
        <w:rPr>
          <w:sz w:val="28"/>
          <w:szCs w:val="28"/>
        </w:rPr>
        <w:t>к Правилам</w:t>
      </w:r>
      <w:r w:rsidR="00D333CA">
        <w:t xml:space="preserve"> </w:t>
      </w:r>
      <w:r w:rsidRPr="005469C2">
        <w:rPr>
          <w:rFonts w:eastAsiaTheme="minorHAnsi"/>
          <w:bCs/>
          <w:sz w:val="28"/>
          <w:lang w:eastAsia="en-US"/>
        </w:rPr>
        <w:t>изложить в следующей редакции:</w:t>
      </w:r>
    </w:p>
    <w:p w:rsidR="000F5B4A" w:rsidRPr="005469C2" w:rsidRDefault="000F5B4A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«</w:t>
      </w:r>
    </w:p>
    <w:tbl>
      <w:tblPr>
        <w:tblStyle w:val="af9"/>
        <w:tblW w:w="503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0"/>
        <w:gridCol w:w="7438"/>
      </w:tblGrid>
      <w:tr w:rsidR="005469C2" w:rsidRPr="00CE46CF" w:rsidTr="00334C10">
        <w:trPr>
          <w:tblHeader/>
        </w:trPr>
        <w:tc>
          <w:tcPr>
            <w:tcW w:w="1357" w:type="pct"/>
            <w:vAlign w:val="center"/>
          </w:tcPr>
          <w:p w:rsidR="005469C2" w:rsidRPr="00CE46CF" w:rsidRDefault="005469C2" w:rsidP="00CE7396">
            <w:pPr>
              <w:jc w:val="center"/>
              <w:rPr>
                <w:b/>
                <w:sz w:val="22"/>
                <w:szCs w:val="22"/>
              </w:rPr>
            </w:pPr>
            <w:r w:rsidRPr="00CE46CF">
              <w:rPr>
                <w:b/>
                <w:sz w:val="22"/>
                <w:szCs w:val="22"/>
              </w:rPr>
              <w:t>Вид зоны с особыми условиями использования территорий</w:t>
            </w:r>
          </w:p>
        </w:tc>
        <w:tc>
          <w:tcPr>
            <w:tcW w:w="3643" w:type="pct"/>
            <w:vAlign w:val="center"/>
          </w:tcPr>
          <w:p w:rsidR="005469C2" w:rsidRPr="00CE46CF" w:rsidRDefault="005469C2" w:rsidP="00CE7396">
            <w:pPr>
              <w:jc w:val="center"/>
              <w:rPr>
                <w:b/>
                <w:sz w:val="22"/>
                <w:szCs w:val="22"/>
              </w:rPr>
            </w:pPr>
            <w:r w:rsidRPr="00CE46CF">
              <w:rPr>
                <w:b/>
                <w:sz w:val="22"/>
                <w:szCs w:val="22"/>
              </w:rPr>
              <w:t xml:space="preserve">Режим использования или ограничения </w:t>
            </w:r>
            <w:r w:rsidRPr="00CE46CF">
              <w:rPr>
                <w:b/>
                <w:sz w:val="22"/>
                <w:szCs w:val="22"/>
              </w:rPr>
              <w:br/>
              <w:t>на использование территории</w:t>
            </w:r>
          </w:p>
        </w:tc>
      </w:tr>
      <w:tr w:rsidR="005469C2" w:rsidRPr="00CE46CF" w:rsidTr="00334C10">
        <w:tc>
          <w:tcPr>
            <w:tcW w:w="1357" w:type="pct"/>
          </w:tcPr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Охранные зоны объектов электросетевого хозяйства</w:t>
            </w:r>
          </w:p>
        </w:tc>
        <w:tc>
          <w:tcPr>
            <w:tcW w:w="3643" w:type="pct"/>
          </w:tcPr>
          <w:p w:rsidR="005469C2" w:rsidRPr="00CE46CF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 xml:space="preserve">1. </w:t>
            </w:r>
            <w:r w:rsidR="005469C2" w:rsidRPr="00CE46CF">
              <w:rPr>
                <w:snapToGrid w:val="0"/>
                <w:sz w:val="22"/>
                <w:szCs w:val="22"/>
                <w:lang w:eastAsia="x-none"/>
              </w:rPr>
              <w:t>В</w:t>
            </w:r>
            <w:r w:rsidR="005469C2" w:rsidRPr="00CE46CF">
              <w:rPr>
                <w:snapToGrid w:val="0"/>
                <w:sz w:val="22"/>
                <w:szCs w:val="22"/>
                <w:lang w:val="x-none" w:eastAsia="x-none"/>
              </w:rPr>
      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AE3C2F">
              <w:rPr>
                <w:snapToGrid w:val="0"/>
                <w:sz w:val="22"/>
                <w:szCs w:val="22"/>
                <w:lang w:val="x-none" w:eastAsia="x-none"/>
              </w:rPr>
              <w:t>б)</w:t>
            </w: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 xml:space="preserve"> </w:t>
            </w:r>
            <w:r w:rsidR="009F016C" w:rsidRPr="009F016C">
              <w:rPr>
                <w:snapToGrid w:val="0"/>
                <w:sz w:val="22"/>
                <w:szCs w:val="22"/>
                <w:lang w:val="x-none" w:eastAsia="x-none"/>
              </w:rPr>
              <w:t>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</w:t>
            </w: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г) размещать свалки;</w:t>
            </w:r>
          </w:p>
          <w:p w:rsidR="005469C2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</w:t>
            </w:r>
            <w:r w:rsidR="009F016C">
              <w:rPr>
                <w:snapToGrid w:val="0"/>
                <w:sz w:val="22"/>
                <w:szCs w:val="22"/>
                <w:lang w:val="x-none" w:eastAsia="x-none"/>
              </w:rPr>
              <w:t>абельных линий электропередачи)</w:t>
            </w:r>
            <w:r w:rsidR="009F016C">
              <w:rPr>
                <w:snapToGrid w:val="0"/>
                <w:sz w:val="22"/>
                <w:szCs w:val="22"/>
                <w:lang w:eastAsia="x-none"/>
              </w:rPr>
              <w:t>;</w:t>
            </w:r>
          </w:p>
          <w:p w:rsidR="009F016C" w:rsidRPr="009F016C" w:rsidRDefault="009F016C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AE3C2F">
              <w:rPr>
                <w:snapToGrid w:val="0"/>
                <w:sz w:val="22"/>
                <w:szCs w:val="22"/>
                <w:lang w:eastAsia="x-none"/>
              </w:rPr>
              <w:t>е)</w:t>
            </w:r>
            <w:r w:rsidRPr="009F016C">
              <w:rPr>
                <w:snapToGrid w:val="0"/>
                <w:sz w:val="22"/>
                <w:szCs w:val="22"/>
                <w:lang w:eastAsia="x-none"/>
              </w:rPr>
              <w:t xml:space="preserve">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      </w:r>
          </w:p>
          <w:p w:rsidR="009F016C" w:rsidRPr="009F016C" w:rsidRDefault="009F016C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AE3C2F">
              <w:rPr>
                <w:snapToGrid w:val="0"/>
                <w:sz w:val="22"/>
                <w:szCs w:val="22"/>
                <w:lang w:eastAsia="x-none"/>
              </w:rPr>
              <w:t>ж)</w:t>
            </w:r>
            <w:r w:rsidRPr="009F016C">
              <w:rPr>
                <w:snapToGrid w:val="0"/>
                <w:sz w:val="22"/>
                <w:szCs w:val="22"/>
                <w:lang w:eastAsia="x-none"/>
              </w:rPr>
              <w:t xml:space="preserve"> производить переключения и подключения в электрических сетях (указанное требование не распространяется на работников, занятых </w:t>
            </w:r>
            <w:r w:rsidRPr="009F016C">
              <w:rPr>
                <w:snapToGrid w:val="0"/>
                <w:sz w:val="22"/>
                <w:szCs w:val="22"/>
                <w:lang w:eastAsia="x-none"/>
              </w:rPr>
              <w:lastRenderedPageBreak/>
              <w:t>выполнением разрешенных в установленном порядке работ);</w:t>
            </w:r>
          </w:p>
          <w:p w:rsidR="009F016C" w:rsidRPr="009F016C" w:rsidRDefault="009F016C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AE3C2F">
              <w:rPr>
                <w:snapToGrid w:val="0"/>
                <w:sz w:val="22"/>
                <w:szCs w:val="22"/>
                <w:lang w:eastAsia="x-none"/>
              </w:rPr>
              <w:t>з)</w:t>
            </w:r>
            <w:r w:rsidRPr="009F016C">
              <w:rPr>
                <w:snapToGrid w:val="0"/>
                <w:sz w:val="22"/>
                <w:szCs w:val="22"/>
                <w:lang w:eastAsia="x-none"/>
              </w:rPr>
              <w:t xml:space="preserve"> осуществлять использование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боеприпасов.</w:t>
            </w:r>
          </w:p>
          <w:p w:rsidR="005469C2" w:rsidRPr="00CE46CF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bookmarkStart w:id="1" w:name="Par77"/>
            <w:bookmarkEnd w:id="1"/>
            <w:r>
              <w:rPr>
                <w:snapToGrid w:val="0"/>
                <w:sz w:val="22"/>
                <w:szCs w:val="22"/>
                <w:lang w:eastAsia="x-none"/>
              </w:rPr>
              <w:t>2</w:t>
            </w:r>
            <w:r w:rsidR="005469C2" w:rsidRPr="00CE46CF">
              <w:rPr>
                <w:snapToGrid w:val="0"/>
                <w:sz w:val="22"/>
                <w:szCs w:val="22"/>
                <w:lang w:val="x-none" w:eastAsia="x-none"/>
              </w:rPr>
              <w:t xml:space="preserve">. 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="005469C2" w:rsidRPr="00CE46CF">
                <w:rPr>
                  <w:snapToGrid w:val="0"/>
                  <w:sz w:val="22"/>
                  <w:szCs w:val="22"/>
                  <w:lang w:val="x-none" w:eastAsia="x-none"/>
                </w:rPr>
                <w:t>пунктом 8</w:t>
              </w:r>
            </w:hyperlink>
            <w:r w:rsidR="005469C2" w:rsidRPr="00CE46CF">
              <w:rPr>
                <w:snapToGrid w:val="0"/>
                <w:sz w:val="22"/>
                <w:szCs w:val="22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а) складировать или размещать хранилища любых, в том числе горюче-смазочных, материалов;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5469C2" w:rsidRPr="00CE46CF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5469C2" w:rsidRDefault="005469C2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CE46CF">
              <w:rPr>
                <w:snapToGrid w:val="0"/>
                <w:sz w:val="22"/>
                <w:szCs w:val="22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</w:t>
            </w:r>
            <w:r w:rsidR="009F016C">
              <w:rPr>
                <w:snapToGrid w:val="0"/>
                <w:sz w:val="22"/>
                <w:szCs w:val="22"/>
                <w:lang w:val="x-none" w:eastAsia="x-none"/>
              </w:rPr>
              <w:t>оздушных линий электропередачи)</w:t>
            </w:r>
            <w:r w:rsidR="009F016C">
              <w:rPr>
                <w:snapToGrid w:val="0"/>
                <w:sz w:val="22"/>
                <w:szCs w:val="22"/>
                <w:lang w:eastAsia="x-none"/>
              </w:rPr>
              <w:t>;</w:t>
            </w:r>
          </w:p>
          <w:p w:rsidR="009F016C" w:rsidRPr="009F016C" w:rsidRDefault="009F016C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AE3C2F">
              <w:rPr>
                <w:snapToGrid w:val="0"/>
                <w:sz w:val="22"/>
                <w:szCs w:val="22"/>
                <w:lang w:eastAsia="x-none"/>
              </w:rPr>
              <w:t>е)</w:t>
            </w:r>
            <w:r w:rsidRPr="009F016C">
              <w:rPr>
                <w:snapToGrid w:val="0"/>
                <w:sz w:val="22"/>
                <w:szCs w:val="22"/>
                <w:lang w:eastAsia="x-none"/>
              </w:rPr>
              <w:t xml:space="preserve">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</w:t>
            </w:r>
            <w:proofErr w:type="spellStart"/>
            <w:r w:rsidRPr="009F016C">
              <w:rPr>
                <w:snapToGrid w:val="0"/>
                <w:sz w:val="22"/>
                <w:szCs w:val="22"/>
                <w:lang w:eastAsia="x-none"/>
              </w:rPr>
              <w:t>кВ</w:t>
            </w:r>
            <w:proofErr w:type="spellEnd"/>
            <w:r w:rsidRPr="009F016C">
              <w:rPr>
                <w:snapToGrid w:val="0"/>
                <w:sz w:val="22"/>
                <w:szCs w:val="22"/>
                <w:lang w:eastAsia="x-none"/>
              </w:rPr>
              <w:t xml:space="preserve"> и выше (исключительно в охранных зонах воздушных линий электропередачи);</w:t>
            </w:r>
          </w:p>
          <w:p w:rsidR="009F016C" w:rsidRPr="009F016C" w:rsidRDefault="009F016C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AE3C2F">
              <w:rPr>
                <w:snapToGrid w:val="0"/>
                <w:sz w:val="22"/>
                <w:szCs w:val="22"/>
                <w:lang w:eastAsia="x-none"/>
              </w:rPr>
              <w:t>ж)</w:t>
            </w:r>
            <w:r w:rsidRPr="009F016C">
              <w:rPr>
                <w:snapToGrid w:val="0"/>
                <w:sz w:val="22"/>
                <w:szCs w:val="22"/>
                <w:lang w:eastAsia="x-none"/>
              </w:rPr>
              <w:t xml:space="preserve"> устанавливать рекламные конструкции.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bookmarkStart w:id="2" w:name="Par84"/>
            <w:bookmarkEnd w:id="2"/>
            <w:r w:rsidRPr="00AE3C2F">
              <w:rPr>
                <w:snapToGrid w:val="0"/>
                <w:sz w:val="22"/>
                <w:szCs w:val="22"/>
                <w:lang w:eastAsia="x-none"/>
              </w:rPr>
              <w:t>3.</w:t>
            </w:r>
            <w:r w:rsidRPr="00AE3C2F">
              <w:rPr>
                <w:snapToGrid w:val="0"/>
                <w:sz w:val="22"/>
                <w:szCs w:val="22"/>
                <w:lang w:val="x-none" w:eastAsia="x-none"/>
              </w:rPr>
              <w:t>В охранных</w:t>
            </w: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зонах допускается размещение зданий и сооружений при соблюдении следующих параметров: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а)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б) расстояние по горизонтали от элементов зданий и сооружений до проводов воздушных линий электропередачи напряжением до 1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с неизолированными проводами (при наибольшем их отклонении)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1,5 метра - от выступающих частей зданий, террас и окон;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1 метра - от глухих стен;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в) расстояние по горизонтали от элементов зданий и сооружений до токопроводящих жил кабелей (предназначенных для эксплуатации в </w:t>
            </w:r>
            <w:r w:rsidRPr="008E5564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 xml:space="preserve">воздушной среде) напряжением свыше 1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(при наибольшем их отклонении)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1 метра - от выступающих частей зданий, террас и окон;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0,2 метра - от глухих стен зданий, сооружений;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г) допускается размещение зданий и сооружений под проводами воздушных линий электропередачи напряжением до 1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с самонесущими изолированными проводами, при этом расстояние по вертикали от указанных зданий и сооружений при наибольшей стреле провеса должно быть не менее 2,5 метра;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д) расстояние по горизонтали от элементов зданий и сооружений до проводов воздушных линий электропередачи напряжением свыше 1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(при наибольшем их отклонении)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2 метров - при проектном номинальном классе напряжения до 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35 - 110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6 метров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20 метров (8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30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750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е) под проводами воздушных линий электропередачи допускается размещение следующих видов зданий и (или) сооружений и (или) их пересечение с воздушными линиями электропередачи: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производственные здания и (или) сооружения промышленных предприятий I и II степени огнестойкости в соответствии с техническим регламентом о требованиях пожарной безопасности, если проектный номинальный класс напряжения воздушных линий электропередачи не превышает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, а также вне зависимости от проектного номинального класса напряжения воздушных линий электропередачи - здания и сооружения электрических станций и подстанций (включая вспомогательные и обслуживающие объекты), ограждения при условии, что расстояние от наивысшей точки указанных зданий и (или) сооружений, ограждений по вертикали до проводов воздушной линии электропередачи при наибольшей стреле провеса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до 35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12 метров - при проектном номинальном классе напряжения 750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линии связи, линии проводного вещания, если проектный номинальный класс напряжения воздушных линий электропередачи не превышает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</w:t>
            </w:r>
            <w:r w:rsidRPr="008E5564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>при условии, что расстояние по вертикали до проводов воздушной линии электропередачи от указанных линий при наибольшей стреле провеса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до 35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железные дороги при условии, что расстояние по вертикали от головки рельса до проводов воздушной линии электропередачи при наибольшей стреле провеса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до 35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8,5 метра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9 метров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9,5 метра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12 метров - при проектном номинальном классе напряжения 750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автомобильные дороги при условии,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7 метров - при проектном номинальном классе напряжения до 35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7 метров - при проектном номинальном классе напряжения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8,5 метра (11 метров - в границах населенных пунктов)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9,5 метра (15,5 метра - в границах населенных пунктов)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16 метров (23 метров - в границах населенных пунктов) - при проектном номинальном классе напряжения 750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провода контактной сети или несущего троса трамвайных и троллейбусных линий, если проектный номинальный класс напряжения воздушных линий электропередачи не превышает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при условии,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до 35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трубопроводы при условии, что расстояние по вертикали от наивысшей </w:t>
            </w:r>
            <w:r w:rsidRPr="008E5564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>точки любой части трубопровода до проводов воздушной линии электропередачи при наибольшей стреле провеса должно быть не менее: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до 35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110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4,5 метра - при проектном номинальном классе напряжения 150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220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6 метров - при проектном номинальном классе напряжения 330 - 400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500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12 метров - при проектном номинальном классе напряжения 750 </w:t>
            </w:r>
            <w:proofErr w:type="spellStart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ж)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зданиями, сооружениями и объектами электроэнергетики, возможность размещения зданий, сооружений в границах охранной зоны определяется исходя из противопожарных расстояний.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AE3C2F">
              <w:rPr>
                <w:snapToGrid w:val="0"/>
                <w:sz w:val="22"/>
                <w:szCs w:val="22"/>
                <w:lang w:eastAsia="x-none"/>
              </w:rPr>
              <w:t xml:space="preserve">4. </w:t>
            </w:r>
            <w:r w:rsidRPr="00AE3C2F">
              <w:rPr>
                <w:snapToGrid w:val="0"/>
                <w:sz w:val="22"/>
                <w:szCs w:val="22"/>
                <w:lang w:val="x-none" w:eastAsia="x-none"/>
              </w:rPr>
              <w:t>В пределах</w:t>
            </w: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 xml:space="preserve">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а) горные, взрывные, мелиоративные работы, в том числе связанные с временным затоплением земель;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б)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в)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8E5564" w:rsidRPr="008E5564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      </w:r>
          </w:p>
          <w:p w:rsidR="005469C2" w:rsidRPr="00CE46CF" w:rsidRDefault="008E5564" w:rsidP="001F059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8E5564">
              <w:rPr>
                <w:snapToGrid w:val="0"/>
                <w:sz w:val="22"/>
                <w:szCs w:val="22"/>
                <w:lang w:val="x-none" w:eastAsia="x-none"/>
              </w:rPr>
              <w:t>з) посадка и вырубка деревьев и кустарников.</w:t>
            </w:r>
          </w:p>
        </w:tc>
      </w:tr>
    </w:tbl>
    <w:p w:rsidR="001B1EA3" w:rsidRPr="00AB5A66" w:rsidRDefault="000F5B4A" w:rsidP="000F5B4A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lastRenderedPageBreak/>
        <w:t>».</w:t>
      </w:r>
    </w:p>
    <w:p w:rsidR="00D42140" w:rsidRPr="00A163A9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color w:val="FF0000"/>
          <w:sz w:val="28"/>
          <w:szCs w:val="28"/>
        </w:rPr>
      </w:pPr>
      <w:r w:rsidRPr="00A163A9">
        <w:rPr>
          <w:iCs/>
          <w:sz w:val="28"/>
          <w:szCs w:val="28"/>
        </w:rPr>
        <w:lastRenderedPageBreak/>
        <w:t xml:space="preserve">2. </w:t>
      </w:r>
      <w:r w:rsidRPr="00A163A9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A163A9">
        <w:rPr>
          <w:sz w:val="28"/>
          <w:szCs w:val="28"/>
        </w:rPr>
        <w:t>официальном</w:t>
      </w:r>
      <w:proofErr w:type="gramEnd"/>
      <w:r w:rsidRPr="00A163A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333CA" w:rsidRDefault="00D42140" w:rsidP="00D333C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3. </w:t>
      </w:r>
      <w:r w:rsidR="00ED1A0A" w:rsidRPr="00ED1A0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опубликования, за иск</w:t>
      </w:r>
      <w:r w:rsidR="00ED1A0A">
        <w:rPr>
          <w:rFonts w:ascii="Times New Roman" w:hAnsi="Times New Roman"/>
          <w:sz w:val="28"/>
          <w:szCs w:val="28"/>
        </w:rPr>
        <w:t>лючением подпунктов 1.1.2, 1.1.6, 1.1.7</w:t>
      </w:r>
      <w:r w:rsidR="00ED1A0A" w:rsidRPr="00ED1A0A">
        <w:rPr>
          <w:rFonts w:ascii="Times New Roman" w:hAnsi="Times New Roman"/>
          <w:sz w:val="28"/>
          <w:szCs w:val="28"/>
        </w:rPr>
        <w:t xml:space="preserve"> настоящего постановления, который вступает в силу после его официального опубликования и распространяется на правоотношения, возникающие с 01.02.2024.</w:t>
      </w:r>
    </w:p>
    <w:p w:rsidR="00ED1A0A" w:rsidRPr="00D333CA" w:rsidRDefault="00ED1A0A" w:rsidP="00D333CA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1739" w:rsidRDefault="00291739" w:rsidP="00D421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42140" w:rsidRPr="00A163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42140" w:rsidRPr="00A163A9">
        <w:rPr>
          <w:sz w:val="28"/>
          <w:szCs w:val="28"/>
        </w:rPr>
        <w:t xml:space="preserve"> района</w:t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B70A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Г.Г.</w:t>
      </w:r>
      <w:r w:rsidR="00B70AC4">
        <w:rPr>
          <w:sz w:val="28"/>
          <w:szCs w:val="28"/>
        </w:rPr>
        <w:t xml:space="preserve"> </w:t>
      </w:r>
      <w:r>
        <w:rPr>
          <w:sz w:val="28"/>
          <w:szCs w:val="28"/>
        </w:rPr>
        <w:t>Кудряшов</w:t>
      </w:r>
    </w:p>
    <w:p w:rsidR="00291739" w:rsidRDefault="00291739" w:rsidP="00D421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sectPr w:rsidR="00291739" w:rsidSect="004A683A">
      <w:headerReference w:type="default" r:id="rId10"/>
      <w:pgSz w:w="11906" w:h="16838"/>
      <w:pgMar w:top="1135" w:right="567" w:bottom="124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64" w:rsidRDefault="00E41264" w:rsidP="00C96F85">
      <w:r>
        <w:separator/>
      </w:r>
    </w:p>
  </w:endnote>
  <w:endnote w:type="continuationSeparator" w:id="0">
    <w:p w:rsidR="00E41264" w:rsidRDefault="00E41264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64" w:rsidRDefault="00E41264" w:rsidP="00C96F85">
      <w:r>
        <w:separator/>
      </w:r>
    </w:p>
  </w:footnote>
  <w:footnote w:type="continuationSeparator" w:id="0">
    <w:p w:rsidR="00E41264" w:rsidRDefault="00E41264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30125" w:rsidRDefault="00F301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125" w:rsidRDefault="00F30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42D76"/>
    <w:multiLevelType w:val="hybridMultilevel"/>
    <w:tmpl w:val="B2A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52BC4152"/>
    <w:multiLevelType w:val="hybridMultilevel"/>
    <w:tmpl w:val="8AE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39CF"/>
    <w:multiLevelType w:val="hybridMultilevel"/>
    <w:tmpl w:val="D84EC4AC"/>
    <w:lvl w:ilvl="0" w:tplc="C6DC7026">
      <w:start w:val="1"/>
      <w:numFmt w:val="bullet"/>
      <w:lvlText w:val="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3D4E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5B4A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1EA3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206B"/>
    <w:rsid w:val="001C3D7B"/>
    <w:rsid w:val="001C4284"/>
    <w:rsid w:val="001C61C9"/>
    <w:rsid w:val="001C78BC"/>
    <w:rsid w:val="001C7B20"/>
    <w:rsid w:val="001D49BB"/>
    <w:rsid w:val="001D4BF0"/>
    <w:rsid w:val="001D6DF6"/>
    <w:rsid w:val="001E16F3"/>
    <w:rsid w:val="001E2612"/>
    <w:rsid w:val="001E2CC1"/>
    <w:rsid w:val="001E4D37"/>
    <w:rsid w:val="001E657B"/>
    <w:rsid w:val="001F059E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9C9"/>
    <w:rsid w:val="00213D1D"/>
    <w:rsid w:val="00217B6B"/>
    <w:rsid w:val="0022058A"/>
    <w:rsid w:val="00222360"/>
    <w:rsid w:val="002238BF"/>
    <w:rsid w:val="00223B1A"/>
    <w:rsid w:val="0022591D"/>
    <w:rsid w:val="00226326"/>
    <w:rsid w:val="00226BAC"/>
    <w:rsid w:val="00226F19"/>
    <w:rsid w:val="00230D8F"/>
    <w:rsid w:val="002318C1"/>
    <w:rsid w:val="00231F95"/>
    <w:rsid w:val="00232CE3"/>
    <w:rsid w:val="00232E7A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1739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5E33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63E"/>
    <w:rsid w:val="00332B87"/>
    <w:rsid w:val="00334A6A"/>
    <w:rsid w:val="00334C10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953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C93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683A"/>
    <w:rsid w:val="004A75FB"/>
    <w:rsid w:val="004A7CBC"/>
    <w:rsid w:val="004B0CFD"/>
    <w:rsid w:val="004B0E23"/>
    <w:rsid w:val="004B0F78"/>
    <w:rsid w:val="004B15A1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07CE3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1D1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09D"/>
    <w:rsid w:val="005466DA"/>
    <w:rsid w:val="005469C2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7D"/>
    <w:rsid w:val="00606C57"/>
    <w:rsid w:val="006071E5"/>
    <w:rsid w:val="00611847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36187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D69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167A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3E00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24B4"/>
    <w:rsid w:val="0083403F"/>
    <w:rsid w:val="00835C4F"/>
    <w:rsid w:val="008371EC"/>
    <w:rsid w:val="00840862"/>
    <w:rsid w:val="00842D68"/>
    <w:rsid w:val="00845036"/>
    <w:rsid w:val="00846C3F"/>
    <w:rsid w:val="008474FB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76351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858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8AF"/>
    <w:rsid w:val="008E0AE6"/>
    <w:rsid w:val="008E11C3"/>
    <w:rsid w:val="008E366E"/>
    <w:rsid w:val="008E3744"/>
    <w:rsid w:val="008E46BA"/>
    <w:rsid w:val="008E4BFC"/>
    <w:rsid w:val="008E5564"/>
    <w:rsid w:val="008E6250"/>
    <w:rsid w:val="008E63A9"/>
    <w:rsid w:val="008E7CFE"/>
    <w:rsid w:val="008F0A4D"/>
    <w:rsid w:val="008F1440"/>
    <w:rsid w:val="008F1482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4D0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5BDE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93B"/>
    <w:rsid w:val="009F016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2FCC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24BC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0EA2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4BB0"/>
    <w:rsid w:val="00AA6D67"/>
    <w:rsid w:val="00AA7255"/>
    <w:rsid w:val="00AB09D1"/>
    <w:rsid w:val="00AB0F0C"/>
    <w:rsid w:val="00AB5390"/>
    <w:rsid w:val="00AB5E8E"/>
    <w:rsid w:val="00AB7441"/>
    <w:rsid w:val="00AB7839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3C2F"/>
    <w:rsid w:val="00AE467F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0E9F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0AC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16CAF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3756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3E1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2121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1BE5"/>
    <w:rsid w:val="00D138F3"/>
    <w:rsid w:val="00D139F9"/>
    <w:rsid w:val="00D1439F"/>
    <w:rsid w:val="00D16217"/>
    <w:rsid w:val="00D171FC"/>
    <w:rsid w:val="00D174B6"/>
    <w:rsid w:val="00D20E52"/>
    <w:rsid w:val="00D27343"/>
    <w:rsid w:val="00D316E1"/>
    <w:rsid w:val="00D33092"/>
    <w:rsid w:val="00D333CA"/>
    <w:rsid w:val="00D34BC0"/>
    <w:rsid w:val="00D34DF8"/>
    <w:rsid w:val="00D352BC"/>
    <w:rsid w:val="00D35B5A"/>
    <w:rsid w:val="00D36FAC"/>
    <w:rsid w:val="00D402F7"/>
    <w:rsid w:val="00D42140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2F1A"/>
    <w:rsid w:val="00DC56B1"/>
    <w:rsid w:val="00DC7DCD"/>
    <w:rsid w:val="00DD0079"/>
    <w:rsid w:val="00DD10FC"/>
    <w:rsid w:val="00DD12DB"/>
    <w:rsid w:val="00DD1726"/>
    <w:rsid w:val="00DD23AB"/>
    <w:rsid w:val="00DD28AE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563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4BF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8CA"/>
    <w:rsid w:val="00E11AC8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4251"/>
    <w:rsid w:val="00E26631"/>
    <w:rsid w:val="00E27D5A"/>
    <w:rsid w:val="00E318A6"/>
    <w:rsid w:val="00E33683"/>
    <w:rsid w:val="00E33AE7"/>
    <w:rsid w:val="00E3457F"/>
    <w:rsid w:val="00E34F67"/>
    <w:rsid w:val="00E35CBC"/>
    <w:rsid w:val="00E41264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2EA3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1A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717F"/>
    <w:rsid w:val="00F30125"/>
    <w:rsid w:val="00F31A3E"/>
    <w:rsid w:val="00F32982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4EEB"/>
    <w:rsid w:val="00F6633F"/>
    <w:rsid w:val="00F6677A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5E85"/>
    <w:rsid w:val="00F96976"/>
    <w:rsid w:val="00F971C7"/>
    <w:rsid w:val="00F97243"/>
    <w:rsid w:val="00F9757C"/>
    <w:rsid w:val="00F97F71"/>
    <w:rsid w:val="00FA0C74"/>
    <w:rsid w:val="00FA1952"/>
    <w:rsid w:val="00FA1BF0"/>
    <w:rsid w:val="00FA3BD0"/>
    <w:rsid w:val="00FA56E5"/>
    <w:rsid w:val="00FA726A"/>
    <w:rsid w:val="00FA74DF"/>
    <w:rsid w:val="00FA75FE"/>
    <w:rsid w:val="00FA7E12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uiPriority w:val="59"/>
    <w:rsid w:val="005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uiPriority w:val="59"/>
    <w:rsid w:val="005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7317-FE96-480A-94A3-3142AA0F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5</cp:revision>
  <cp:lastPrinted>2024-01-16T06:36:00Z</cp:lastPrinted>
  <dcterms:created xsi:type="dcterms:W3CDTF">2024-01-12T09:54:00Z</dcterms:created>
  <dcterms:modified xsi:type="dcterms:W3CDTF">2024-01-16T06:36:00Z</dcterms:modified>
</cp:coreProperties>
</file>