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5B218" wp14:editId="687DFFDC">
            <wp:simplePos x="0" y="0"/>
            <wp:positionH relativeFrom="column">
              <wp:posOffset>2601595</wp:posOffset>
            </wp:positionH>
            <wp:positionV relativeFrom="paragraph">
              <wp:posOffset>-236855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FE105E" w:rsidRPr="00EA61AB" w:rsidRDefault="00FE105E" w:rsidP="00FE105E">
      <w:pPr>
        <w:tabs>
          <w:tab w:val="left" w:pos="4962"/>
        </w:tabs>
        <w:rPr>
          <w:sz w:val="28"/>
          <w:szCs w:val="28"/>
        </w:rPr>
      </w:pPr>
    </w:p>
    <w:p w:rsidR="00FE105E" w:rsidRPr="00EA61AB" w:rsidRDefault="004E1AEF" w:rsidP="00FE105E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20.01.</w:t>
      </w:r>
      <w:r w:rsidR="00FE105E">
        <w:rPr>
          <w:sz w:val="28"/>
          <w:szCs w:val="28"/>
        </w:rPr>
        <w:t>2020</w:t>
      </w:r>
      <w:r w:rsidR="00FE105E" w:rsidRPr="00EA61AB">
        <w:rPr>
          <w:sz w:val="28"/>
          <w:szCs w:val="28"/>
        </w:rPr>
        <w:tab/>
      </w:r>
      <w:r w:rsidR="00FE105E" w:rsidRPr="00EA61AB">
        <w:rPr>
          <w:sz w:val="28"/>
          <w:szCs w:val="28"/>
        </w:rPr>
        <w:tab/>
        <w:t xml:space="preserve">                </w:t>
      </w:r>
      <w:r w:rsidR="00FE10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FE105E">
        <w:rPr>
          <w:sz w:val="28"/>
          <w:szCs w:val="28"/>
        </w:rPr>
        <w:t xml:space="preserve">        </w:t>
      </w:r>
      <w:r w:rsidR="00FE105E" w:rsidRPr="00EA61AB">
        <w:rPr>
          <w:sz w:val="28"/>
          <w:szCs w:val="28"/>
        </w:rPr>
        <w:t xml:space="preserve">№ </w:t>
      </w:r>
      <w:r>
        <w:rPr>
          <w:sz w:val="28"/>
          <w:szCs w:val="28"/>
        </w:rPr>
        <w:t>27-р</w:t>
      </w:r>
    </w:p>
    <w:p w:rsidR="00FE105E" w:rsidRPr="00EA61AB" w:rsidRDefault="00FE105E" w:rsidP="00FE105E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плане мероприятий по развитию института оценки регулирующего воздействия в Березовском районе на 2020 год</w:t>
      </w:r>
    </w:p>
    <w:p w:rsidR="00195C18" w:rsidRDefault="00195C18" w:rsidP="00195C18">
      <w:pPr>
        <w:ind w:firstLine="567"/>
        <w:jc w:val="both"/>
        <w:rPr>
          <w:rFonts w:ascii="Arial" w:hAnsi="Arial"/>
          <w:sz w:val="22"/>
          <w:szCs w:val="22"/>
          <w:lang w:eastAsia="en-US"/>
        </w:rPr>
      </w:pPr>
    </w:p>
    <w:p w:rsidR="00195C18" w:rsidRPr="00195C18" w:rsidRDefault="00195C18" w:rsidP="00195C18">
      <w:pPr>
        <w:ind w:firstLine="567"/>
        <w:jc w:val="both"/>
        <w:rPr>
          <w:sz w:val="24"/>
          <w:szCs w:val="24"/>
          <w:lang w:eastAsia="en-US"/>
        </w:rPr>
      </w:pPr>
      <w:r w:rsidRPr="00195C18">
        <w:rPr>
          <w:sz w:val="24"/>
          <w:szCs w:val="24"/>
          <w:lang w:eastAsia="en-US"/>
        </w:rPr>
        <w:t>(с изменен</w:t>
      </w:r>
      <w:r>
        <w:rPr>
          <w:sz w:val="24"/>
          <w:szCs w:val="24"/>
          <w:lang w:eastAsia="en-US"/>
        </w:rPr>
        <w:t xml:space="preserve">иями, внесенными распоряжением </w:t>
      </w:r>
      <w:r w:rsidRPr="00195C18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Березовского района от 13.04.2020</w:t>
      </w:r>
      <w:r w:rsidRPr="00195C18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263-р</w:t>
      </w:r>
      <w:r w:rsidRPr="00195C18">
        <w:rPr>
          <w:sz w:val="24"/>
          <w:szCs w:val="24"/>
          <w:lang w:eastAsia="en-US"/>
        </w:rPr>
        <w:t>)</w:t>
      </w:r>
    </w:p>
    <w:p w:rsidR="00FE105E" w:rsidRDefault="00FE105E" w:rsidP="00195C18">
      <w:pPr>
        <w:pStyle w:val="ConsPlusTitle"/>
        <w:widowControl/>
        <w:ind w:right="4959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05E" w:rsidRPr="0035175C" w:rsidRDefault="00FE105E" w:rsidP="00FE105E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5C">
        <w:rPr>
          <w:rFonts w:ascii="Times New Roman" w:hAnsi="Times New Roman" w:cs="Times New Roman"/>
          <w:bCs/>
          <w:sz w:val="28"/>
          <w:szCs w:val="28"/>
        </w:rPr>
        <w:t>В целях развития и совершенствования института оценки регулирующего воздействия в</w:t>
      </w:r>
      <w:r w:rsidRPr="003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районе, </w:t>
      </w:r>
      <w:r w:rsidRPr="0035175C">
        <w:rPr>
          <w:rFonts w:ascii="Times New Roman" w:hAnsi="Times New Roman" w:cs="Times New Roman"/>
          <w:sz w:val="28"/>
          <w:szCs w:val="28"/>
        </w:rPr>
        <w:t xml:space="preserve">формирования эффективного взаимодействия предпринимательского сообщества и органов местного самоуправления Березовского </w:t>
      </w:r>
      <w:proofErr w:type="gramStart"/>
      <w:r w:rsidRPr="0035175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5175C">
        <w:rPr>
          <w:rFonts w:ascii="Times New Roman" w:hAnsi="Times New Roman" w:cs="Times New Roman"/>
          <w:sz w:val="28"/>
          <w:szCs w:val="28"/>
        </w:rPr>
        <w:t xml:space="preserve"> при проведении процедур оценки регулирующего воздействия:</w:t>
      </w:r>
    </w:p>
    <w:p w:rsidR="00FE105E" w:rsidRDefault="00FE105E" w:rsidP="00FE105E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развитию института оценки регулирующего воздействия в Березовском районе на 2020 год согласно приложению к настоящему распоряжению.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Березовского района, председателя Комитета 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FE105E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AA20DF" w:rsidRDefault="00AA20DF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  <w:bookmarkStart w:id="0" w:name="_GoBack"/>
      <w:bookmarkEnd w:id="0"/>
    </w:p>
    <w:p w:rsidR="00AA20DF" w:rsidRDefault="00AA20DF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AA20DF" w:rsidRDefault="00AA20DF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AA20DF" w:rsidRDefault="00AA20DF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AA20DF" w:rsidRDefault="00AA20DF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520210" w:rsidRDefault="00520210" w:rsidP="00A36051">
      <w:pPr>
        <w:rPr>
          <w:sz w:val="28"/>
          <w:szCs w:val="28"/>
        </w:rPr>
        <w:sectPr w:rsidR="00520210" w:rsidSect="00A36051">
          <w:headerReference w:type="default" r:id="rId10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80C">
        <w:rPr>
          <w:sz w:val="28"/>
          <w:szCs w:val="28"/>
        </w:rPr>
        <w:t>проекту р</w:t>
      </w:r>
      <w:r>
        <w:rPr>
          <w:sz w:val="28"/>
          <w:szCs w:val="28"/>
        </w:rPr>
        <w:t>аспоряжени</w:t>
      </w:r>
      <w:r w:rsidR="0016080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Березовского района </w:t>
      </w:r>
    </w:p>
    <w:p w:rsidR="00A36051" w:rsidRDefault="00442D4C" w:rsidP="00EA61AB">
      <w:pPr>
        <w:ind w:right="-739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4E1AEF">
        <w:rPr>
          <w:sz w:val="28"/>
          <w:szCs w:val="28"/>
        </w:rPr>
        <w:t>20.01.2020 № 27-р</w:t>
      </w:r>
    </w:p>
    <w:p w:rsidR="00195C18" w:rsidRPr="00195C18" w:rsidRDefault="00195C18" w:rsidP="00195C18">
      <w:pPr>
        <w:ind w:right="-739"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</w:t>
      </w:r>
      <w:r w:rsidRPr="00195C18">
        <w:rPr>
          <w:sz w:val="24"/>
          <w:szCs w:val="24"/>
          <w:lang w:eastAsia="en-US"/>
        </w:rPr>
        <w:t>(с изменен</w:t>
      </w:r>
      <w:r>
        <w:rPr>
          <w:sz w:val="24"/>
          <w:szCs w:val="24"/>
          <w:lang w:eastAsia="en-US"/>
        </w:rPr>
        <w:t xml:space="preserve">иями, внесенными распоряжением </w:t>
      </w:r>
      <w:r w:rsidRPr="00195C18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Березовского района от 13.04.2020</w:t>
      </w:r>
      <w:r w:rsidRPr="00195C18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263-р</w:t>
      </w:r>
      <w:r w:rsidRPr="00195C18">
        <w:rPr>
          <w:sz w:val="24"/>
          <w:szCs w:val="24"/>
          <w:lang w:eastAsia="en-US"/>
        </w:rPr>
        <w:t>)</w:t>
      </w:r>
    </w:p>
    <w:p w:rsidR="00EA61AB" w:rsidRDefault="00EA61AB" w:rsidP="00A36051">
      <w:pPr>
        <w:contextualSpacing/>
        <w:jc w:val="center"/>
        <w:rPr>
          <w:sz w:val="28"/>
          <w:szCs w:val="28"/>
        </w:rPr>
      </w:pPr>
    </w:p>
    <w:p w:rsidR="00EA61AB" w:rsidRDefault="00AE5FD1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2DAB">
        <w:rPr>
          <w:sz w:val="28"/>
          <w:szCs w:val="28"/>
        </w:rPr>
        <w:t xml:space="preserve">мероприятий </w:t>
      </w:r>
    </w:p>
    <w:p w:rsidR="00A36051" w:rsidRDefault="00902D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AE5FD1">
        <w:rPr>
          <w:sz w:val="28"/>
          <w:szCs w:val="28"/>
        </w:rPr>
        <w:t xml:space="preserve"> института оценки регулирующего воздействия </w:t>
      </w:r>
      <w:r>
        <w:rPr>
          <w:sz w:val="28"/>
          <w:szCs w:val="28"/>
        </w:rPr>
        <w:t>в</w:t>
      </w:r>
      <w:r w:rsidR="00AE5FD1">
        <w:rPr>
          <w:sz w:val="28"/>
          <w:szCs w:val="28"/>
        </w:rPr>
        <w:t xml:space="preserve"> Березовско</w:t>
      </w:r>
      <w:r>
        <w:rPr>
          <w:sz w:val="28"/>
          <w:szCs w:val="28"/>
        </w:rPr>
        <w:t>м</w:t>
      </w:r>
      <w:r w:rsidR="00AE5F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16080C">
        <w:rPr>
          <w:sz w:val="28"/>
          <w:szCs w:val="28"/>
        </w:rPr>
        <w:t xml:space="preserve"> на 2020</w:t>
      </w:r>
      <w:r w:rsidR="00AE5FD1">
        <w:rPr>
          <w:sz w:val="28"/>
          <w:szCs w:val="28"/>
        </w:rPr>
        <w:t xml:space="preserve"> год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019"/>
        <w:gridCol w:w="1701"/>
        <w:gridCol w:w="5128"/>
      </w:tblGrid>
      <w:tr w:rsidR="00A36051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784BCD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</w:t>
            </w:r>
            <w:r w:rsidR="006C0D29" w:rsidRPr="00503E0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35175C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6051" w:rsidRPr="00503E07">
              <w:rPr>
                <w:rFonts w:eastAsia="Calibr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 исполнитель</w:t>
            </w:r>
          </w:p>
        </w:tc>
      </w:tr>
      <w:tr w:rsidR="00503E07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3E07" w:rsidRPr="00503E07" w:rsidRDefault="00760379" w:rsidP="0076037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Утверждение Плана проведения экспертизы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</w:t>
            </w:r>
            <w:r w:rsidR="0016080C">
              <w:rPr>
                <w:rFonts w:eastAsia="Calibri"/>
                <w:sz w:val="24"/>
                <w:szCs w:val="24"/>
                <w:lang w:eastAsia="en-US"/>
              </w:rPr>
              <w:t>имательской деятельности, на 2020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35175C" w:rsidP="002B4BF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16080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Плана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фактического воздействия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</w:t>
            </w:r>
            <w:r w:rsidR="0016080C">
              <w:rPr>
                <w:rFonts w:eastAsia="Calibri"/>
                <w:sz w:val="24"/>
                <w:szCs w:val="24"/>
                <w:lang w:eastAsia="en-US"/>
              </w:rPr>
              <w:t>имательской деятельности, на 2020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A36051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7B454A">
            <w:pPr>
              <w:jc w:val="both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>Проведение семинара-совещания с представителям</w:t>
            </w:r>
            <w:r w:rsidR="00320960">
              <w:rPr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="00320960">
              <w:rPr>
                <w:sz w:val="24"/>
                <w:szCs w:val="24"/>
                <w:lang w:eastAsia="en-US"/>
              </w:rPr>
              <w:t>бизнес-</w:t>
            </w:r>
            <w:r w:rsidR="007B454A">
              <w:rPr>
                <w:sz w:val="24"/>
                <w:szCs w:val="24"/>
                <w:lang w:eastAsia="en-US"/>
              </w:rPr>
              <w:t>сообщества</w:t>
            </w:r>
            <w:proofErr w:type="gramEnd"/>
            <w:r w:rsidR="007B454A">
              <w:rPr>
                <w:sz w:val="24"/>
                <w:szCs w:val="24"/>
                <w:lang w:eastAsia="en-US"/>
              </w:rPr>
              <w:t xml:space="preserve"> по вопросам проведения оценки регулирующего воздействия, экспертизы и оценки фактического воздействия муниципальных нормативных правовых актов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val="en-US" w:eastAsia="en-US"/>
              </w:rPr>
              <w:t>I</w:t>
            </w:r>
            <w:r w:rsidRPr="00320960">
              <w:rPr>
                <w:sz w:val="24"/>
                <w:szCs w:val="24"/>
                <w:lang w:eastAsia="en-US"/>
              </w:rPr>
              <w:t xml:space="preserve"> </w:t>
            </w:r>
            <w:r w:rsidRPr="00063C5B"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195C18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C18" w:rsidRPr="00063C5B" w:rsidRDefault="00195C18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C18" w:rsidRPr="00063C5B" w:rsidRDefault="00195C18" w:rsidP="007B45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конференций, совещаний, иных мероприятий, в рамках которых будут освещены вопросы оценки регулирующего воздействия, экспертизы и оценки фактического воздействия </w:t>
            </w:r>
            <w:r w:rsidRPr="00195C18">
              <w:rPr>
                <w:i/>
                <w:sz w:val="24"/>
                <w:szCs w:val="24"/>
                <w:lang w:eastAsia="en-US"/>
              </w:rPr>
              <w:t>(с изменен</w:t>
            </w:r>
            <w:r w:rsidRPr="00B373B6">
              <w:rPr>
                <w:i/>
                <w:sz w:val="24"/>
                <w:szCs w:val="24"/>
                <w:lang w:eastAsia="en-US"/>
              </w:rPr>
              <w:t xml:space="preserve">иями, внесенными распоряжением </w:t>
            </w:r>
            <w:r w:rsidRPr="00195C18">
              <w:rPr>
                <w:i/>
                <w:sz w:val="24"/>
                <w:szCs w:val="24"/>
                <w:lang w:eastAsia="en-US"/>
              </w:rPr>
              <w:t xml:space="preserve">Администрации </w:t>
            </w:r>
            <w:r w:rsidRPr="00B373B6">
              <w:rPr>
                <w:i/>
                <w:sz w:val="24"/>
                <w:szCs w:val="24"/>
                <w:lang w:eastAsia="en-US"/>
              </w:rPr>
              <w:t>Березовского района от 13.04.2020</w:t>
            </w:r>
            <w:r w:rsidRPr="00195C18">
              <w:rPr>
                <w:i/>
                <w:sz w:val="24"/>
                <w:szCs w:val="24"/>
                <w:lang w:eastAsia="en-US"/>
              </w:rPr>
              <w:t xml:space="preserve"> № </w:t>
            </w:r>
            <w:r w:rsidRPr="00B373B6">
              <w:rPr>
                <w:i/>
                <w:sz w:val="24"/>
                <w:szCs w:val="24"/>
                <w:lang w:eastAsia="en-US"/>
              </w:rPr>
              <w:t>263-р</w:t>
            </w:r>
            <w:r w:rsidRPr="00195C18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C18" w:rsidRDefault="00195C18" w:rsidP="00195C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063C5B">
              <w:rPr>
                <w:sz w:val="24"/>
                <w:szCs w:val="24"/>
                <w:lang w:val="en-US" w:eastAsia="en-US"/>
              </w:rPr>
              <w:t>I</w:t>
            </w:r>
            <w:r w:rsidRPr="00195C18">
              <w:rPr>
                <w:sz w:val="24"/>
                <w:szCs w:val="24"/>
                <w:lang w:eastAsia="en-US"/>
              </w:rPr>
              <w:t xml:space="preserve"> </w:t>
            </w:r>
            <w:r w:rsidRPr="00063C5B">
              <w:rPr>
                <w:sz w:val="24"/>
                <w:szCs w:val="24"/>
                <w:lang w:eastAsia="en-US"/>
              </w:rPr>
              <w:t>квартал</w:t>
            </w:r>
          </w:p>
          <w:p w:rsidR="00195C18" w:rsidRPr="00195C18" w:rsidRDefault="00195C18" w:rsidP="00195C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Pr="00195C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C18" w:rsidRPr="00063C5B" w:rsidRDefault="00195C18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E5F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195C18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320960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вопроса о результатах </w:t>
            </w:r>
            <w:proofErr w:type="gramStart"/>
            <w:r w:rsidRPr="00503E07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Березовского</w:t>
            </w:r>
            <w:proofErr w:type="gramEnd"/>
            <w:r w:rsidRPr="00503E07">
              <w:rPr>
                <w:sz w:val="24"/>
                <w:szCs w:val="24"/>
              </w:rPr>
              <w:t xml:space="preserve"> района, экспертизы муниципальных нормативных правовых актов</w:t>
            </w:r>
            <w:r w:rsidR="00583BB4">
              <w:rPr>
                <w:sz w:val="24"/>
                <w:szCs w:val="24"/>
              </w:rPr>
              <w:t xml:space="preserve"> Березовского района</w:t>
            </w:r>
            <w:r w:rsidR="00320960">
              <w:rPr>
                <w:sz w:val="24"/>
                <w:szCs w:val="24"/>
              </w:rPr>
              <w:t xml:space="preserve"> </w:t>
            </w:r>
            <w:r w:rsidRPr="00503E07">
              <w:rPr>
                <w:sz w:val="24"/>
                <w:szCs w:val="24"/>
              </w:rPr>
              <w:t>за 201</w:t>
            </w:r>
            <w:r w:rsidR="0016080C">
              <w:rPr>
                <w:sz w:val="24"/>
                <w:szCs w:val="24"/>
              </w:rPr>
              <w:t>9</w:t>
            </w:r>
            <w:r w:rsidR="00063C5B">
              <w:rPr>
                <w:sz w:val="24"/>
                <w:szCs w:val="24"/>
              </w:rPr>
              <w:t xml:space="preserve"> </w:t>
            </w:r>
            <w:r w:rsidRPr="00503E07">
              <w:rPr>
                <w:sz w:val="24"/>
                <w:szCs w:val="24"/>
              </w:rPr>
              <w:t xml:space="preserve">год на заседании Совета по инвестиционной политике Березовского района. Рейтинг </w:t>
            </w:r>
            <w:r w:rsidR="00583BB4">
              <w:rPr>
                <w:sz w:val="24"/>
                <w:szCs w:val="24"/>
              </w:rPr>
              <w:t xml:space="preserve">качества оценки регулирующего воздействия и экспертизы </w:t>
            </w:r>
            <w:r w:rsidRPr="00503E07">
              <w:rPr>
                <w:sz w:val="24"/>
                <w:szCs w:val="24"/>
              </w:rPr>
              <w:lastRenderedPageBreak/>
              <w:t>Березовского района</w:t>
            </w:r>
            <w:r w:rsidR="00583BB4">
              <w:rPr>
                <w:sz w:val="24"/>
                <w:szCs w:val="24"/>
              </w:rPr>
              <w:t xml:space="preserve"> за 201</w:t>
            </w:r>
            <w:r w:rsidR="0016080C">
              <w:rPr>
                <w:sz w:val="24"/>
                <w:szCs w:val="24"/>
              </w:rPr>
              <w:t>9</w:t>
            </w:r>
            <w:r w:rsidR="00583BB4">
              <w:rPr>
                <w:sz w:val="24"/>
                <w:szCs w:val="24"/>
              </w:rPr>
              <w:t xml:space="preserve"> год</w:t>
            </w:r>
            <w:r w:rsidR="00195C18">
              <w:rPr>
                <w:sz w:val="24"/>
                <w:szCs w:val="24"/>
              </w:rPr>
              <w:t xml:space="preserve"> </w:t>
            </w:r>
            <w:r w:rsidR="00195C18" w:rsidRPr="00195C18">
              <w:rPr>
                <w:i/>
                <w:sz w:val="24"/>
                <w:szCs w:val="24"/>
                <w:lang w:eastAsia="en-US"/>
              </w:rPr>
              <w:t>(с изменен</w:t>
            </w:r>
            <w:r w:rsidR="00195C18" w:rsidRPr="00B373B6">
              <w:rPr>
                <w:i/>
                <w:sz w:val="24"/>
                <w:szCs w:val="24"/>
                <w:lang w:eastAsia="en-US"/>
              </w:rPr>
              <w:t xml:space="preserve">иями, внесенными распоряжением </w:t>
            </w:r>
            <w:r w:rsidR="00195C18" w:rsidRPr="00195C18">
              <w:rPr>
                <w:i/>
                <w:sz w:val="24"/>
                <w:szCs w:val="24"/>
                <w:lang w:eastAsia="en-US"/>
              </w:rPr>
              <w:t xml:space="preserve">Администрации </w:t>
            </w:r>
            <w:r w:rsidR="00195C18" w:rsidRPr="00B373B6">
              <w:rPr>
                <w:i/>
                <w:sz w:val="24"/>
                <w:szCs w:val="24"/>
                <w:lang w:eastAsia="en-US"/>
              </w:rPr>
              <w:t>Березовского района от 13.04.2020</w:t>
            </w:r>
            <w:r w:rsidR="00195C18" w:rsidRPr="00195C18">
              <w:rPr>
                <w:i/>
                <w:sz w:val="24"/>
                <w:szCs w:val="24"/>
                <w:lang w:eastAsia="en-US"/>
              </w:rPr>
              <w:t xml:space="preserve"> № </w:t>
            </w:r>
            <w:r w:rsidR="00195C18" w:rsidRPr="00B373B6">
              <w:rPr>
                <w:i/>
                <w:sz w:val="24"/>
                <w:szCs w:val="24"/>
                <w:lang w:eastAsia="en-US"/>
              </w:rPr>
              <w:t>263-р</w:t>
            </w:r>
            <w:r w:rsidR="00195C18" w:rsidRPr="00195C18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lastRenderedPageBreak/>
              <w:t xml:space="preserve">II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195C18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195C18">
            <w:pPr>
              <w:jc w:val="both"/>
              <w:rPr>
                <w:sz w:val="24"/>
                <w:szCs w:val="24"/>
              </w:rPr>
            </w:pPr>
            <w:r w:rsidRPr="00063C5B">
              <w:rPr>
                <w:sz w:val="24"/>
                <w:szCs w:val="24"/>
                <w:lang w:eastAsia="en-US"/>
              </w:rPr>
              <w:t>Освещение вопрос</w:t>
            </w:r>
            <w:r w:rsidR="00063C5B">
              <w:rPr>
                <w:sz w:val="24"/>
                <w:szCs w:val="24"/>
                <w:lang w:eastAsia="en-US"/>
              </w:rPr>
              <w:t>ов</w:t>
            </w:r>
            <w:r w:rsidRPr="00063C5B">
              <w:rPr>
                <w:sz w:val="24"/>
                <w:szCs w:val="24"/>
                <w:lang w:eastAsia="en-US"/>
              </w:rPr>
              <w:t xml:space="preserve"> внедрения </w:t>
            </w:r>
            <w:r w:rsidR="00063C5B">
              <w:rPr>
                <w:sz w:val="24"/>
                <w:szCs w:val="24"/>
                <w:lang w:eastAsia="en-US"/>
              </w:rPr>
              <w:t xml:space="preserve">оценки регулирующего воздействия, </w:t>
            </w:r>
            <w:r w:rsidRPr="00063C5B">
              <w:rPr>
                <w:sz w:val="24"/>
                <w:szCs w:val="24"/>
                <w:lang w:eastAsia="en-US"/>
              </w:rPr>
              <w:t xml:space="preserve">оценки фактического воздействия муниципальных нормативных правовых актов </w:t>
            </w:r>
            <w:r w:rsidR="00583BB4" w:rsidRPr="00063C5B">
              <w:rPr>
                <w:sz w:val="24"/>
                <w:szCs w:val="24"/>
                <w:lang w:eastAsia="en-US"/>
              </w:rPr>
              <w:t xml:space="preserve">в </w:t>
            </w:r>
            <w:r w:rsidRPr="00063C5B">
              <w:rPr>
                <w:sz w:val="24"/>
                <w:szCs w:val="24"/>
                <w:lang w:eastAsia="en-US"/>
              </w:rPr>
              <w:t>Березовско</w:t>
            </w:r>
            <w:r w:rsidR="00583BB4" w:rsidRPr="00063C5B">
              <w:rPr>
                <w:sz w:val="24"/>
                <w:szCs w:val="24"/>
                <w:lang w:eastAsia="en-US"/>
              </w:rPr>
              <w:t>м</w:t>
            </w:r>
            <w:r w:rsidRPr="00063C5B">
              <w:rPr>
                <w:sz w:val="24"/>
                <w:szCs w:val="24"/>
                <w:lang w:eastAsia="en-US"/>
              </w:rPr>
              <w:t xml:space="preserve"> район</w:t>
            </w:r>
            <w:r w:rsidR="00583BB4" w:rsidRPr="00063C5B">
              <w:rPr>
                <w:sz w:val="24"/>
                <w:szCs w:val="24"/>
                <w:lang w:eastAsia="en-US"/>
              </w:rPr>
              <w:t>е</w:t>
            </w:r>
            <w:r w:rsidRPr="00063C5B">
              <w:rPr>
                <w:sz w:val="24"/>
                <w:szCs w:val="24"/>
                <w:lang w:eastAsia="en-US"/>
              </w:rPr>
              <w:t xml:space="preserve"> в средствах массовой информации, с целью повышения уровня вовлеченности представителей </w:t>
            </w:r>
            <w:proofErr w:type="gramStart"/>
            <w:r w:rsidRPr="00063C5B">
              <w:rPr>
                <w:sz w:val="24"/>
                <w:szCs w:val="24"/>
                <w:lang w:eastAsia="en-US"/>
              </w:rPr>
              <w:t>бизнес-сообщества</w:t>
            </w:r>
            <w:proofErr w:type="gramEnd"/>
            <w:r w:rsidRPr="00063C5B">
              <w:rPr>
                <w:sz w:val="24"/>
                <w:szCs w:val="24"/>
                <w:lang w:eastAsia="en-US"/>
              </w:rPr>
              <w:t xml:space="preserve"> и иных </w:t>
            </w:r>
            <w:r w:rsidR="00063C5B">
              <w:rPr>
                <w:sz w:val="24"/>
                <w:szCs w:val="24"/>
                <w:lang w:eastAsia="en-US"/>
              </w:rPr>
              <w:t>заинтересованных лиц в процедуры</w:t>
            </w:r>
            <w:r w:rsidRPr="00063C5B">
              <w:rPr>
                <w:sz w:val="24"/>
                <w:szCs w:val="24"/>
                <w:lang w:eastAsia="en-US"/>
              </w:rPr>
              <w:t xml:space="preserve"> оценки </w:t>
            </w:r>
            <w:r w:rsidR="00063C5B">
              <w:rPr>
                <w:sz w:val="24"/>
                <w:szCs w:val="24"/>
                <w:lang w:eastAsia="en-US"/>
              </w:rPr>
              <w:t xml:space="preserve">регулирующего </w:t>
            </w:r>
            <w:r w:rsidRPr="00063C5B">
              <w:rPr>
                <w:sz w:val="24"/>
                <w:szCs w:val="24"/>
                <w:lang w:eastAsia="en-US"/>
              </w:rPr>
              <w:t>воздействия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 </w:t>
            </w:r>
            <w:r w:rsidR="00063C5B">
              <w:rPr>
                <w:sz w:val="24"/>
                <w:szCs w:val="24"/>
                <w:lang w:eastAsia="en-US"/>
              </w:rPr>
              <w:t xml:space="preserve">и оценки </w:t>
            </w:r>
            <w:r w:rsidR="00063C5B" w:rsidRPr="00063C5B">
              <w:rPr>
                <w:sz w:val="24"/>
                <w:szCs w:val="24"/>
                <w:lang w:eastAsia="en-US"/>
              </w:rPr>
              <w:t>фактического</w:t>
            </w:r>
            <w:r w:rsidR="00063C5B">
              <w:rPr>
                <w:sz w:val="24"/>
                <w:szCs w:val="24"/>
                <w:lang w:eastAsia="en-US"/>
              </w:rPr>
              <w:t xml:space="preserve"> воздействия.</w:t>
            </w:r>
            <w:r w:rsidR="00195C18" w:rsidRPr="00195C1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="0035175C" w:rsidRPr="00063C5B">
              <w:rPr>
                <w:sz w:val="24"/>
                <w:szCs w:val="24"/>
                <w:lang w:val="en-US" w:eastAsia="en-US"/>
              </w:rPr>
              <w:t>I</w:t>
            </w:r>
            <w:r w:rsidR="0035175C" w:rsidRPr="00195C18">
              <w:rPr>
                <w:sz w:val="24"/>
                <w:szCs w:val="24"/>
                <w:lang w:eastAsia="en-US"/>
              </w:rPr>
              <w:t xml:space="preserve"> </w:t>
            </w:r>
            <w:r w:rsidR="0035175C" w:rsidRPr="00063C5B">
              <w:rPr>
                <w:sz w:val="24"/>
                <w:szCs w:val="24"/>
                <w:lang w:eastAsia="en-US"/>
              </w:rPr>
              <w:t>квартал</w:t>
            </w:r>
          </w:p>
          <w:p w:rsidR="0035175C" w:rsidRPr="00063C5B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Pr="00195C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</w:t>
            </w:r>
            <w:r w:rsidR="0035175C" w:rsidRPr="00063C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195C18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75C" w:rsidRPr="00503E07" w:rsidRDefault="0035175C" w:rsidP="007B45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итогов взаимодействия органов местного самоуправления и </w:t>
            </w:r>
            <w:proofErr w:type="gramStart"/>
            <w:r w:rsidRPr="00503E07">
              <w:rPr>
                <w:sz w:val="24"/>
                <w:szCs w:val="24"/>
              </w:rPr>
              <w:t>бизнес-сообщества</w:t>
            </w:r>
            <w:proofErr w:type="gramEnd"/>
            <w:r w:rsidRPr="00503E07">
              <w:rPr>
                <w:sz w:val="24"/>
                <w:szCs w:val="24"/>
              </w:rPr>
              <w:t xml:space="preserve"> при проведении оценки</w:t>
            </w:r>
            <w:r w:rsidR="0016080C">
              <w:rPr>
                <w:sz w:val="24"/>
                <w:szCs w:val="24"/>
              </w:rPr>
              <w:t xml:space="preserve"> регулирующего воздействия в 2020</w:t>
            </w:r>
            <w:r w:rsidRPr="00503E07">
              <w:rPr>
                <w:sz w:val="24"/>
                <w:szCs w:val="24"/>
              </w:rPr>
              <w:t xml:space="preserve"> году на заседании Совета </w:t>
            </w:r>
            <w:r w:rsidR="007B454A">
              <w:rPr>
                <w:sz w:val="24"/>
                <w:szCs w:val="24"/>
              </w:rPr>
              <w:t>по инвестиционной политике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>IV</w:t>
            </w:r>
            <w:r w:rsidRPr="00503E07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195C18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5C" w:rsidRPr="00503E07" w:rsidRDefault="0035175C" w:rsidP="00063C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и актуализация информации, размещенной</w:t>
            </w:r>
            <w:r w:rsidR="00063C5B" w:rsidRPr="00063C5B">
              <w:rPr>
                <w:sz w:val="28"/>
                <w:szCs w:val="28"/>
              </w:rPr>
              <w:t xml:space="preserve"> 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на Портале проектов нормативных актов  </w:t>
            </w:r>
            <w:hyperlink r:id="rId11" w:history="1">
              <w:r w:rsidR="00063C5B" w:rsidRPr="00063C5B">
                <w:rPr>
                  <w:rStyle w:val="ad"/>
                  <w:sz w:val="24"/>
                  <w:szCs w:val="24"/>
                  <w:lang w:eastAsia="en-US"/>
                </w:rPr>
                <w:t>http://regulation.admhmao.ru/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9F099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195C18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96" w:rsidRDefault="009F0996" w:rsidP="009F099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раздела «Оценка </w:t>
            </w:r>
            <w:r w:rsidRPr="009F0996">
              <w:rPr>
                <w:sz w:val="24"/>
                <w:szCs w:val="24"/>
                <w:lang w:eastAsia="en-US"/>
              </w:rPr>
              <w:t>регулирующего воздействия, экспертиза и оценка фактического воздействия муниципальных НП</w:t>
            </w:r>
            <w:r>
              <w:rPr>
                <w:sz w:val="24"/>
                <w:szCs w:val="24"/>
                <w:lang w:eastAsia="en-US"/>
              </w:rPr>
              <w:t xml:space="preserve">А»  </w:t>
            </w:r>
            <w:r w:rsidR="00125921">
              <w:rPr>
                <w:sz w:val="24"/>
                <w:szCs w:val="24"/>
                <w:lang w:eastAsia="en-US"/>
              </w:rPr>
              <w:t>на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25921" w:rsidRPr="00125921">
              <w:rPr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125921" w:rsidRPr="00125921">
              <w:rPr>
                <w:sz w:val="24"/>
                <w:szCs w:val="24"/>
                <w:lang w:eastAsia="en-US"/>
              </w:rPr>
              <w:t xml:space="preserve"> веб-сайте органов местного самоуправления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125921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Pr="00B1091A" w:rsidRDefault="00125921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125921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95C18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21" w:rsidRDefault="00125921" w:rsidP="001259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125921">
              <w:rPr>
                <w:sz w:val="24"/>
                <w:szCs w:val="24"/>
                <w:lang w:eastAsia="en-US"/>
              </w:rPr>
              <w:t xml:space="preserve">Консультирование структурных подразделений администрации </w:t>
            </w:r>
            <w:r>
              <w:rPr>
                <w:sz w:val="24"/>
                <w:szCs w:val="24"/>
                <w:lang w:eastAsia="en-US"/>
              </w:rPr>
              <w:t>Березов</w:t>
            </w:r>
            <w:r w:rsidRPr="00125921">
              <w:rPr>
                <w:sz w:val="24"/>
                <w:szCs w:val="24"/>
                <w:lang w:eastAsia="en-US"/>
              </w:rPr>
              <w:t>ского района по вопросам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25921" w:rsidP="00207BA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Pr="00B1091A" w:rsidRDefault="00125921" w:rsidP="00207B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</w:tbl>
    <w:p w:rsidR="003017FA" w:rsidRPr="00503E07" w:rsidRDefault="003017FA" w:rsidP="00A36051">
      <w:pPr>
        <w:rPr>
          <w:sz w:val="24"/>
          <w:szCs w:val="24"/>
        </w:rPr>
      </w:pPr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F" w:rsidRDefault="008C1FBF" w:rsidP="00A36051">
      <w:r>
        <w:separator/>
      </w:r>
    </w:p>
  </w:endnote>
  <w:endnote w:type="continuationSeparator" w:id="0">
    <w:p w:rsidR="008C1FBF" w:rsidRDefault="008C1FBF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F" w:rsidRDefault="008C1FBF" w:rsidP="00A36051">
      <w:r>
        <w:separator/>
      </w:r>
    </w:p>
  </w:footnote>
  <w:footnote w:type="continuationSeparator" w:id="0">
    <w:p w:rsidR="008C1FBF" w:rsidRDefault="008C1FBF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F7" w:rsidRDefault="001219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20DF">
      <w:rPr>
        <w:noProof/>
      </w:rPr>
      <w:t>3</w:t>
    </w:r>
    <w:r>
      <w:rPr>
        <w:noProof/>
      </w:rPr>
      <w:fldChar w:fldCharType="end"/>
    </w:r>
  </w:p>
  <w:p w:rsidR="001219F7" w:rsidRDefault="0012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63C5B"/>
    <w:rsid w:val="00075627"/>
    <w:rsid w:val="000B3892"/>
    <w:rsid w:val="00115488"/>
    <w:rsid w:val="001219F7"/>
    <w:rsid w:val="00125921"/>
    <w:rsid w:val="0016080C"/>
    <w:rsid w:val="001643D7"/>
    <w:rsid w:val="00180D5E"/>
    <w:rsid w:val="00185145"/>
    <w:rsid w:val="00195C18"/>
    <w:rsid w:val="001A1875"/>
    <w:rsid w:val="001F5C61"/>
    <w:rsid w:val="00220058"/>
    <w:rsid w:val="002B4BF4"/>
    <w:rsid w:val="002E090A"/>
    <w:rsid w:val="002E64EC"/>
    <w:rsid w:val="003017FA"/>
    <w:rsid w:val="00301BC7"/>
    <w:rsid w:val="00320960"/>
    <w:rsid w:val="0035175C"/>
    <w:rsid w:val="003748D7"/>
    <w:rsid w:val="003B6733"/>
    <w:rsid w:val="003E2AC6"/>
    <w:rsid w:val="00400734"/>
    <w:rsid w:val="00413953"/>
    <w:rsid w:val="00442D4C"/>
    <w:rsid w:val="004D4711"/>
    <w:rsid w:val="004E1AEF"/>
    <w:rsid w:val="004F1DF1"/>
    <w:rsid w:val="00503E07"/>
    <w:rsid w:val="00520210"/>
    <w:rsid w:val="005302F9"/>
    <w:rsid w:val="00531091"/>
    <w:rsid w:val="00536737"/>
    <w:rsid w:val="00565313"/>
    <w:rsid w:val="00583BB4"/>
    <w:rsid w:val="005915B5"/>
    <w:rsid w:val="005D67F0"/>
    <w:rsid w:val="00621E8E"/>
    <w:rsid w:val="0064498F"/>
    <w:rsid w:val="00682DA2"/>
    <w:rsid w:val="00691780"/>
    <w:rsid w:val="00693289"/>
    <w:rsid w:val="006C0D29"/>
    <w:rsid w:val="006F2AB2"/>
    <w:rsid w:val="00760379"/>
    <w:rsid w:val="00770790"/>
    <w:rsid w:val="00784BCD"/>
    <w:rsid w:val="007957D2"/>
    <w:rsid w:val="007B454A"/>
    <w:rsid w:val="00837CB8"/>
    <w:rsid w:val="008679A3"/>
    <w:rsid w:val="008C1FBF"/>
    <w:rsid w:val="00902DAB"/>
    <w:rsid w:val="00931B9B"/>
    <w:rsid w:val="00945C4A"/>
    <w:rsid w:val="00963820"/>
    <w:rsid w:val="009812E9"/>
    <w:rsid w:val="009B34D8"/>
    <w:rsid w:val="009C0172"/>
    <w:rsid w:val="009F0996"/>
    <w:rsid w:val="00A24069"/>
    <w:rsid w:val="00A300D6"/>
    <w:rsid w:val="00A36051"/>
    <w:rsid w:val="00A7027E"/>
    <w:rsid w:val="00A81F7D"/>
    <w:rsid w:val="00A94BFF"/>
    <w:rsid w:val="00AA20DF"/>
    <w:rsid w:val="00AA342A"/>
    <w:rsid w:val="00AA6AD5"/>
    <w:rsid w:val="00AE5354"/>
    <w:rsid w:val="00AE5FD1"/>
    <w:rsid w:val="00B21E43"/>
    <w:rsid w:val="00B373B6"/>
    <w:rsid w:val="00B6515F"/>
    <w:rsid w:val="00B83144"/>
    <w:rsid w:val="00BC650A"/>
    <w:rsid w:val="00BE112A"/>
    <w:rsid w:val="00BE7660"/>
    <w:rsid w:val="00C13E60"/>
    <w:rsid w:val="00C24F0F"/>
    <w:rsid w:val="00C3641F"/>
    <w:rsid w:val="00C41C50"/>
    <w:rsid w:val="00CA3D42"/>
    <w:rsid w:val="00CA725A"/>
    <w:rsid w:val="00CB012B"/>
    <w:rsid w:val="00CF3733"/>
    <w:rsid w:val="00CF4241"/>
    <w:rsid w:val="00D33301"/>
    <w:rsid w:val="00D36F7E"/>
    <w:rsid w:val="00D66C71"/>
    <w:rsid w:val="00D84D0E"/>
    <w:rsid w:val="00E44FAD"/>
    <w:rsid w:val="00E51FA5"/>
    <w:rsid w:val="00EA61AB"/>
    <w:rsid w:val="00EA6776"/>
    <w:rsid w:val="00EB5A9C"/>
    <w:rsid w:val="00EF3C5E"/>
    <w:rsid w:val="00F20809"/>
    <w:rsid w:val="00F2157C"/>
    <w:rsid w:val="00F426AF"/>
    <w:rsid w:val="00F64638"/>
    <w:rsid w:val="00FC021D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DC87-7718-4172-A1A0-F3FA00EE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Билоус Светлана Анатольевна</cp:lastModifiedBy>
  <cp:revision>7</cp:revision>
  <cp:lastPrinted>2020-04-28T05:10:00Z</cp:lastPrinted>
  <dcterms:created xsi:type="dcterms:W3CDTF">2020-04-28T04:49:00Z</dcterms:created>
  <dcterms:modified xsi:type="dcterms:W3CDTF">2020-04-28T05:36:00Z</dcterms:modified>
</cp:coreProperties>
</file>